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falls as US stocks and Hormuz flow claims ease supply fears</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fell 0.8% to $102.29/bbl at 7:14 a.m. Paris time, while November WTI dropped 0.8% to $91.45/bbl. US diesel futures gained 0.5% to $4.8024 a gallon. Crude gave back part of Wednesday's almost 4% rally as traders refocused on recovering Middle Eastern shipments and a larger-than-expected increase in US crude stocks. The decline does not indicate that the physical market has normalized: crude and products have risen sharply this year, and shipping risks remain high around both Hormuz and the Red Sea.</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Estimates of Hormuz traffic remain unusually wide. US Treasury Secretary Scott Bessent said that 17 mb/d of oil sometimes moves through the strait, while Clarksons Research estimated about 8 mb/d earlier this month. Attacks also continue: a cargo ship was left burning and adrift after being hit by a projectile on Wednesday, with two casualties reported and the crew evacuated. Diplomacy has yet to remove this risk. Iranian President Masoud Pezeshkian said Tehran would not restore freedom of navigation while the US blockade and sanctions remain. He also demanded an end to the war and the release of frozen assets before meaningful talks resume.</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US inventory data were bearish for crude but still showed pressure in products. Commercial crude stocks rose by 2.97 million barrels last week, compared with an expected decline of 500,000 barrels and the API's 1.8 million build. Lower refinery runs after power-related outages and weaker exports helped explain the increase, while distillate inventories fell again. Despite the weekly slowdown, refinery runs remain at a seasonal record. The WTI cash roll at Cushing also exceeded $5/bbl for the first time in data since 2017, as traders paid a record premium for immediate supply. Cushing stocks remain near their lowest seasonal level in more than a decade.</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White House is now discussing how to retain more diesel in the US without an outright export ban. Energy Secretary Chris Wright said a blanket ban was not under consideration and favored voluntary limits, although targeted curbs remain possible. Morgan Stanley estimates that a full ban could force refiners to cut crude runs by about 2 mb/d and reduce gasoline output by roughly 650,000 b/d, pushing gasoline prices higher even as US diesel falls. Europe would face the greatest exposure to lost American supply. Wednesday's futures move illustrated that trade-off: ULSD fell 3.35%, while RBOB gasoline rose 2.85%.</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