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YOAN KESRAOUI</w:t>
      </w:r>
    </w:p>
    <w:p>
      <w:pPr>
        <w:keepNext w:val="0"/>
        <w:spacing w:after="20" w:before="0"/>
      </w:pPr>
      <w:r>
        <w:rPr>
          <w:b w:val="0"/>
          <w:i w:val="0"/>
          <w:sz w:val="21"/>
        </w:rPr>
        <w:t>Candidature doctorale</w:t>
      </w:r>
    </w:p>
    <w:p>
      <w:pPr>
        <w:keepNext w:val="0"/>
        <w:spacing w:after="40" w:before="0"/>
      </w:pPr>
      <w:r>
        <w:rPr>
          <w:b/>
          <w:i w:val="0"/>
          <w:sz w:val="24"/>
        </w:rPr>
        <w:t>Modèles de fondation tabulaires pour les données hétérogènes</w:t>
      </w:r>
    </w:p>
    <w:p>
      <w:pPr>
        <w:keepNext w:val="0"/>
        <w:spacing w:after="80" w:before="0"/>
      </w:pPr>
      <w:r>
        <w:rPr>
          <w:b w:val="0"/>
          <w:i w:val="0"/>
          <w:sz w:val="19"/>
        </w:rPr>
        <w:t>Équipe SODA  ·  Inria Saclay  ·  Institut Polytechnique de Paris</w:t>
      </w:r>
    </w:p>
    <w:p>
      <w:pPr>
        <w:keepNext w:val="0"/>
        <w:spacing w:after="20" w:before="0"/>
      </w:pPr>
      <w:r>
        <w:rPr>
          <w:b w:val="0"/>
          <w:i w:val="0"/>
          <w:sz w:val="19"/>
        </w:rPr>
      </w:r>
      <w:r>
        <w:rPr>
          <w:sz w:val="19"/>
        </w:rPr>
        <w:t xml:space="preserve">Paris, France  ·  +33 7 81 83 13 88  ·  </w:t>
      </w:r>
      <w:hyperlink r:id="rId9">
        <w:r>
          <w:rPr>
            <w:rFonts w:ascii="Calibri" w:hAnsi="Calibri"/>
            <w:color w:val="333333"/>
            <w:sz w:val="19"/>
          </w:rPr>
          <w:t>kesraoui.yoan@gmail.com</w:t>
        </w:r>
      </w:hyperlink>
    </w:p>
    <w:p>
      <w:pPr>
        <w:keepNext w:val="0"/>
        <w:spacing w:after="140" w:before="0"/>
      </w:pPr>
      <w:r>
        <w:rPr>
          <w:b w:val="0"/>
          <w:i w:val="0"/>
        </w:rPr>
      </w:r>
      <w:hyperlink r:id="rId10">
        <w:r>
          <w:rPr>
            <w:rFonts w:ascii="Calibri" w:hAnsi="Calibri"/>
            <w:color w:val="333333"/>
            <w:sz w:val="19"/>
          </w:rPr>
          <w:t>linkedin.com/in/yoan-kesraoui-20b983304</w:t>
        </w:r>
      </w:hyperlink>
    </w:p>
    <w:p>
      <w:pPr>
        <w:keepNext w:val="0"/>
        <w:spacing w:after="0" w:before="0"/>
      </w:pPr>
      <w:r>
        <w:rPr>
          <w:b w:val="0"/>
          <w:i w:val="0"/>
        </w:rPr>
        <w:t>Formation en data science, économétrie et mathématiques. Travaux sur les mécanismes des Transformers, utilisation de Chronos-2 et évaluation de modèles sur données réelles. Projet de recherche : modèles de fondation tabulaires et apprentissage sur données hétérogènes.</w:t>
      </w:r>
    </w:p>
    <w:p>
      <w:pPr>
        <w:pStyle w:val="Heading1"/>
      </w:pPr>
      <w:r>
        <w:t>FORMATION</w:t>
      </w:r>
    </w:p>
    <w:p>
      <w:pPr>
        <w:keepNext/>
        <w:tabs>
          <w:tab w:pos="10148" w:val="right"/>
        </w:tabs>
        <w:spacing w:after="20" w:before="0"/>
      </w:pPr>
      <w:r>
        <w:rPr>
          <w:b w:val="0"/>
          <w:i w:val="0"/>
        </w:rPr>
      </w:r>
      <w:r>
        <w:rPr>
          <w:b/>
        </w:rPr>
        <w:t>Université Paris 1 Panthéon-Sorbonne  |  M.Sc. Data Science</w:t>
      </w:r>
      <w:r>
        <w:rPr>
          <w:sz w:val="19"/>
        </w:rPr>
        <w:tab/>
        <w:t>2025 - 2026</w:t>
      </w:r>
    </w:p>
    <w:p>
      <w:pPr>
        <w:keepNext w:val="0"/>
        <w:spacing w:after="80" w:before="0"/>
      </w:pPr>
      <w:r>
        <w:rPr>
          <w:b w:val="0"/>
          <w:i w:val="0"/>
          <w:sz w:val="20"/>
        </w:rPr>
        <w:t>Machine learning, deep learning, statistiques, optimisation et séries temporelles.</w:t>
      </w:r>
    </w:p>
    <w:p>
      <w:pPr>
        <w:keepNext/>
        <w:tabs>
          <w:tab w:pos="10148" w:val="right"/>
        </w:tabs>
        <w:spacing w:after="20" w:before="0"/>
      </w:pPr>
      <w:r>
        <w:rPr>
          <w:b w:val="0"/>
          <w:i w:val="0"/>
        </w:rPr>
      </w:r>
      <w:r>
        <w:rPr>
          <w:b/>
        </w:rPr>
        <w:t>Université Paris Cité  |  M.Sc. Applied Economics - Econometrics</w:t>
      </w:r>
      <w:r>
        <w:rPr>
          <w:sz w:val="19"/>
        </w:rPr>
        <w:tab/>
        <w:t>2023 - 2025</w:t>
      </w:r>
    </w:p>
    <w:p>
      <w:pPr>
        <w:keepNext w:val="0"/>
        <w:spacing w:after="80" w:before="0"/>
      </w:pPr>
      <w:r>
        <w:rPr>
          <w:b w:val="0"/>
          <w:i w:val="0"/>
          <w:sz w:val="20"/>
        </w:rPr>
        <w:t>Économétrie, inférence statistique, modélisation financière et données de panel.</w:t>
      </w:r>
    </w:p>
    <w:p>
      <w:pPr>
        <w:keepNext/>
        <w:tabs>
          <w:tab w:pos="10148" w:val="right"/>
        </w:tabs>
        <w:spacing w:after="20" w:before="0"/>
      </w:pPr>
      <w:r>
        <w:rPr>
          <w:b w:val="0"/>
          <w:i w:val="0"/>
        </w:rPr>
      </w:r>
      <w:r>
        <w:rPr>
          <w:b/>
        </w:rPr>
        <w:t>Université Paris Cité  |  B.Sc. Economics &amp; Mathematics</w:t>
      </w:r>
      <w:r>
        <w:rPr>
          <w:sz w:val="19"/>
        </w:rPr>
        <w:tab/>
        <w:t>2020 - 2023</w:t>
      </w:r>
    </w:p>
    <w:p>
      <w:pPr>
        <w:pStyle w:val="Heading1"/>
      </w:pPr>
      <w:r>
        <w:t>MÉMOIRE DE FIN D’ÉTUDES</w:t>
      </w:r>
    </w:p>
    <w:p>
      <w:pPr>
        <w:keepNext w:val="0"/>
        <w:spacing w:after="40" w:before="0"/>
      </w:pPr>
      <w:r>
        <w:rPr>
          <w:b/>
          <w:i w:val="0"/>
        </w:rPr>
        <w:t>Transformers et modèles de fondation pour les séries temporelles</w:t>
      </w:r>
    </w:p>
    <w:p>
      <w:pPr>
        <w:keepLines/>
        <w:spacing w:after="40"/>
        <w:ind w:left="159" w:hanging="159"/>
      </w:pPr>
      <w:r>
        <w:t xml:space="preserve">• </w:t>
      </w:r>
      <w:r>
        <w:t>Revue de littérature : attention, tokenisation, masquage et préentraînement ; analyse des architectures temporelles et des modèles de fondation, dont Chronos-2, TimesFM et Moirai.</w:t>
      </w:r>
    </w:p>
    <w:p>
      <w:pPr>
        <w:keepLines/>
        <w:spacing w:after="40"/>
        <w:ind w:left="159" w:hanging="159"/>
      </w:pPr>
      <w:r>
        <w:t xml:space="preserve">• </w:t>
      </w:r>
      <w:r>
        <w:t>Analyse critique du transfert, des fuites de données et des prévisions probabilistes ; proposition de protocoles expérimentaux sur la généralisation, les covariables et l’adaptation.</w:t>
      </w:r>
    </w:p>
    <w:p>
      <w:pPr>
        <w:pStyle w:val="Heading1"/>
      </w:pPr>
      <w:r>
        <w:t>EXPÉRIENCES DE RECHERCHE ET DE MODÉLISATION</w:t>
      </w:r>
    </w:p>
    <w:p>
      <w:pPr>
        <w:keepNext/>
        <w:tabs>
          <w:tab w:pos="10148" w:val="right"/>
        </w:tabs>
        <w:spacing w:after="20" w:before="0"/>
      </w:pPr>
      <w:r>
        <w:rPr>
          <w:b w:val="0"/>
          <w:i w:val="0"/>
        </w:rPr>
      </w:r>
      <w:r>
        <w:rPr>
          <w:b/>
        </w:rPr>
        <w:t>ENGIE Global Markets  |  Stagiaire en recherche quantitative</w:t>
      </w:r>
      <w:r>
        <w:rPr>
          <w:sz w:val="19"/>
        </w:rPr>
        <w:tab/>
        <w:t>Juin 2026 - présent</w:t>
      </w:r>
    </w:p>
    <w:p>
      <w:pPr>
        <w:keepNext w:val="0"/>
        <w:spacing w:after="40" w:before="0"/>
      </w:pPr>
      <w:r>
        <w:rPr>
          <w:b w:val="0"/>
          <w:i/>
          <w:sz w:val="19"/>
        </w:rPr>
        <w:t>Global Market Analysis, Paris</w:t>
      </w:r>
    </w:p>
    <w:p>
      <w:pPr>
        <w:keepLines/>
        <w:spacing w:after="40"/>
        <w:ind w:left="159" w:hanging="159"/>
      </w:pPr>
      <w:r>
        <w:t xml:space="preserve">• </w:t>
      </w:r>
      <w:r>
        <w:t>Prévision des prix de l’électricité française à J+1 en combinant Chronos-2, LEAR, CatBoost et ensembles hors pli ; MAE de 12,82 €/MWh sur un jeu de test final réservé de 365 jours.</w:t>
      </w:r>
    </w:p>
    <w:p>
      <w:pPr>
        <w:keepLines/>
        <w:spacing w:after="40"/>
        <w:ind w:left="159" w:hanging="159"/>
      </w:pPr>
      <w:r>
        <w:t xml:space="preserve">• </w:t>
      </w:r>
      <w:r>
        <w:t>Pipelines respectant l’information disponible à chaque date, validation glissante et contrôles des fuites de données ; analyse des biais, des événements extrêmes et des changements de régime.</w:t>
      </w:r>
    </w:p>
    <w:p>
      <w:pPr>
        <w:keepNext/>
        <w:tabs>
          <w:tab w:pos="10148" w:val="right"/>
        </w:tabs>
        <w:spacing w:after="20" w:before="100"/>
      </w:pPr>
      <w:r>
        <w:rPr>
          <w:b w:val="0"/>
          <w:i w:val="0"/>
        </w:rPr>
      </w:r>
      <w:r>
        <w:rPr>
          <w:b/>
        </w:rPr>
        <w:t>Société Générale  |  Stagiaire en risque de marché quantitatif</w:t>
      </w:r>
      <w:r>
        <w:rPr>
          <w:sz w:val="19"/>
        </w:rPr>
        <w:tab/>
        <w:t>Sept. 2025 - mars 2026</w:t>
      </w:r>
    </w:p>
    <w:p>
      <w:pPr>
        <w:keepNext w:val="0"/>
        <w:spacing w:after="40" w:before="0"/>
      </w:pPr>
      <w:r>
        <w:rPr>
          <w:b w:val="0"/>
          <w:i/>
          <w:sz w:val="19"/>
        </w:rPr>
        <w:t>Front Office Market Risk, Paris</w:t>
      </w:r>
    </w:p>
    <w:p>
      <w:pPr>
        <w:keepLines/>
        <w:spacing w:after="40"/>
        <w:ind w:left="159" w:hanging="159"/>
      </w:pPr>
      <w:r>
        <w:t xml:space="preserve">• </w:t>
      </w:r>
      <w:r>
        <w:t>Modèles GARCH, EGARCH et VAR ; pipelines Python/SQL/API sur de grands jeux de données ; clustering et k plus proches voisins pour la détection d’anomalies.</w:t>
      </w:r>
    </w:p>
    <w:p>
      <w:pPr>
        <w:keepNext/>
        <w:tabs>
          <w:tab w:pos="10148" w:val="right"/>
        </w:tabs>
        <w:spacing w:after="20" w:before="100"/>
      </w:pPr>
      <w:r>
        <w:rPr>
          <w:b w:val="0"/>
          <w:i w:val="0"/>
        </w:rPr>
      </w:r>
      <w:r>
        <w:rPr>
          <w:b/>
        </w:rPr>
        <w:t>Autorité des marchés financiers  |  Data scientist et économiste</w:t>
      </w:r>
      <w:r>
        <w:rPr>
          <w:sz w:val="19"/>
        </w:rPr>
        <w:tab/>
        <w:t>Janv. - juin 2025</w:t>
      </w:r>
    </w:p>
    <w:p>
      <w:pPr>
        <w:keepNext w:val="0"/>
        <w:spacing w:after="40" w:before="0"/>
      </w:pPr>
      <w:r>
        <w:rPr>
          <w:b w:val="0"/>
          <w:i/>
          <w:sz w:val="19"/>
        </w:rPr>
        <w:t>Études sur la stabilité financière et les risques, Paris</w:t>
      </w:r>
    </w:p>
    <w:p>
      <w:pPr>
        <w:keepLines/>
        <w:spacing w:after="40"/>
        <w:ind w:left="159" w:hanging="159"/>
      </w:pPr>
      <w:r>
        <w:t xml:space="preserve">• </w:t>
      </w:r>
      <w:r>
        <w:t>Analyse de millions de transactions MiFID II avec PySpark, Python, R et économétrie de panel ; construction d’indicateurs individuels et étude des comportements des investisseurs.</w:t>
      </w:r>
    </w:p>
    <w:p>
      <w:pPr>
        <w:keepLines/>
        <w:spacing w:after="40"/>
        <w:ind w:left="159" w:hanging="159"/>
      </w:pPr>
      <w:r>
        <w:t xml:space="preserve">• </w:t>
      </w:r>
      <w:r>
        <w:t>Contribution aux analyses empiriques de la Cartographie des marchés et des risques 2025 de l’AMF.</w:t>
      </w:r>
    </w:p>
    <w:p>
      <w:pPr>
        <w:keepNext/>
        <w:tabs>
          <w:tab w:pos="10148" w:val="right"/>
        </w:tabs>
        <w:spacing w:after="20" w:before="100"/>
      </w:pPr>
      <w:r>
        <w:rPr>
          <w:b w:val="0"/>
          <w:i w:val="0"/>
        </w:rPr>
      </w:r>
      <w:r>
        <w:rPr>
          <w:b/>
        </w:rPr>
        <w:t>Generali  |  Stagiaire analyste quantitatif</w:t>
      </w:r>
      <w:r>
        <w:rPr>
          <w:sz w:val="19"/>
        </w:rPr>
        <w:tab/>
        <w:t>Avr. - sept. 2024</w:t>
      </w:r>
    </w:p>
    <w:p>
      <w:pPr>
        <w:keepNext w:val="0"/>
        <w:spacing w:after="40" w:before="0"/>
      </w:pPr>
      <w:r>
        <w:rPr>
          <w:b w:val="0"/>
          <w:i/>
          <w:sz w:val="19"/>
        </w:rPr>
        <w:t>Gestion actif-passif et allocation stratégique, Paris</w:t>
      </w:r>
    </w:p>
    <w:p>
      <w:pPr>
        <w:keepLines/>
        <w:spacing w:after="40"/>
        <w:ind w:left="159" w:hanging="159"/>
      </w:pPr>
      <w:r>
        <w:t xml:space="preserve">• </w:t>
      </w:r>
      <w:r>
        <w:t>Développement de modèles de substitution XGBoost pour des valorisations coûteuses en calcul ; calibration de modèles de taux Vasicek/CIR et analyse de relations non linéaires entre facteurs de risque.</w:t>
      </w:r>
    </w:p>
    <w:p>
      <w:pPr>
        <w:pStyle w:val="Heading1"/>
      </w:pPr>
      <w:r>
        <w:t>COMPÉTENCES SCIENTIFIQUES ET TECHNIQUES</w:t>
      </w:r>
    </w:p>
    <w:p>
      <w:pPr>
        <w:keepNext w:val="0"/>
        <w:spacing w:after="40" w:before="0"/>
      </w:pPr>
      <w:r>
        <w:rPr>
          <w:b w:val="0"/>
          <w:i w:val="0"/>
        </w:rPr>
      </w:r>
      <w:r>
        <w:rPr>
          <w:b/>
        </w:rPr>
        <w:t xml:space="preserve">Apprentissage automatique  </w:t>
      </w:r>
      <w:r>
        <w:t>PyTorch, TensorFlow, scikit-learn, Chronos-2, CatBoost, XGBoost.</w:t>
      </w:r>
    </w:p>
    <w:p>
      <w:pPr>
        <w:keepNext w:val="0"/>
        <w:spacing w:after="40" w:before="0"/>
      </w:pPr>
      <w:r>
        <w:rPr>
          <w:b w:val="0"/>
          <w:i w:val="0"/>
        </w:rPr>
      </w:r>
      <w:r>
        <w:rPr>
          <w:b/>
        </w:rPr>
        <w:t xml:space="preserve">Programmation et données  </w:t>
      </w:r>
      <w:r>
        <w:t>Python, SQL, R, PySpark/Spark, pandas, NumPy, statsmodels, Git.</w:t>
      </w:r>
    </w:p>
    <w:p>
      <w:pPr>
        <w:keepNext w:val="0"/>
        <w:spacing w:after="40" w:before="0"/>
      </w:pPr>
      <w:r>
        <w:rPr>
          <w:b w:val="0"/>
          <w:i w:val="0"/>
        </w:rPr>
      </w:r>
      <w:r>
        <w:rPr>
          <w:b/>
        </w:rPr>
        <w:t xml:space="preserve">Méthodes  </w:t>
      </w:r>
      <w:r>
        <w:t>Modélisation probabiliste, économétrie, optimisation, Monte-Carlo, validation temporelle.</w:t>
      </w:r>
    </w:p>
    <w:p>
      <w:pPr>
        <w:keepNext w:val="0"/>
        <w:spacing w:after="40" w:before="0"/>
      </w:pPr>
      <w:r>
        <w:rPr>
          <w:b w:val="0"/>
          <w:i w:val="0"/>
        </w:rPr>
      </w:r>
      <w:r>
        <w:rPr>
          <w:b/>
        </w:rPr>
        <w:t xml:space="preserve">Langues  </w:t>
      </w:r>
      <w:r>
        <w:t>Français natif, anglais C1, espagnol débutant.</w:t>
      </w:r>
    </w:p>
    <w:sectPr w:rsidR="00FC693F" w:rsidRPr="0006063C" w:rsidSect="00034616">
      <w:pgSz w:w="11906" w:h="16838"/>
      <w:pgMar w:top="709" w:right="879" w:bottom="709" w:left="879" w:header="227" w:footer="22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40" w:line="247" w:lineRule="auto"/>
    </w:pPr>
    <w:rPr>
      <w:rFonts w:ascii="Calibri" w:hAnsi="Calibri"/>
      <w:color w:val="000000"/>
      <w:sz w:val="21"/>
      <w:lang w:val="fr-F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80" w:after="80" w:line="247" w:lineRule="auto"/>
      <w:outlineLvl w:val="0"/>
    </w:pPr>
    <w:rPr>
      <w:rFonts w:asciiTheme="majorHAnsi" w:eastAsiaTheme="majorEastAsia" w:hAnsiTheme="majorHAnsi" w:cstheme="majorBidi" w:ascii="Calibri" w:hAnsi="Calibri"/>
      <w:b/>
      <w:bCs/>
      <w:caps w:val="0"/>
      <w:color w:val="000000"/>
      <w:sz w:val="22"/>
      <w:szCs w:val="28"/>
      <w:lang w:val="fr-FR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00" w:after="0" w:line="247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1"/>
      <w:szCs w:val="26"/>
      <w:lang w:val="fr-FR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60" w:line="247" w:lineRule="auto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50"/>
      <w:szCs w:val="52"/>
      <w:lang w:val="fr-FR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after="0" w:line="247" w:lineRule="auto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1"/>
      <w:szCs w:val="24"/>
      <w:lang w:val="fr-FR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after="0" w:line="247" w:lineRule="auto"/>
      <w:contextualSpacing/>
    </w:pPr>
    <w:rPr>
      <w:rFonts w:ascii="Calibri" w:hAnsi="Calibri"/>
      <w:color w:val="000000"/>
      <w:sz w:val="21"/>
      <w:lang w:val="fr-FR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kesraoui.yoan@gmail.com" TargetMode="External"/><Relationship Id="rId10" Type="http://schemas.openxmlformats.org/officeDocument/2006/relationships/hyperlink" Target="https://www.linkedin.com/in/yoan-kesraoui-20b983304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Yoan Kesraoui - Candidature doctorale en modèles de fondation tabulaires</dc:title>
  <dc:subject>Candidature SODA Inria Saclay - Offre ADUM 75968</dc:subject>
  <dc:creator>Yoan Kesraoui</dc:creator>
  <cp:keywords>data science, modèles de fondation, données tabulaires, Python, PyTorch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