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Mathematical typography validation</w:t>
      </w:r>
    </w:p>
    <w:p>
      <w:r>
        <w:t xml:space="preserve">For </w:t>
      </w:r>
      <m:oMath>
        <m:r>
          <m:t>c∈{</m:t>
        </m:r>
        <m:r>
          <m:rPr>
            <m:sty m:val="p"/>
          </m:rPr>
          <m:t>BE</m:t>
        </m:r>
        <m:r>
          <m:t>,</m:t>
        </m:r>
        <m:r>
          <m:rPr>
            <m:sty m:val="p"/>
          </m:rPr>
          <m:t>DE</m:t>
        </m:r>
        <m:r>
          <m:t>,</m:t>
        </m:r>
        <m:r>
          <m:rPr>
            <m:sty m:val="p"/>
          </m:rPr>
          <m:t>FR</m:t>
        </m:r>
        <m:r>
          <m:t>,</m:t>
        </m:r>
        <m:r>
          <m:rPr>
            <m:sty m:val="p"/>
          </m:rPr>
          <m:t>NL</m:t>
        </m:r>
        <m:r>
          <m:t>}</m:t>
        </m:r>
      </m:oMath>
      <w:r>
        <w:t xml:space="preserve"> and </w:t>
      </w:r>
      <m:oMath>
        <m:r>
          <m:t>τ∈(0,1)</m:t>
        </m:r>
      </m:oMath>
      <w:r>
        <w:t xml:space="preserve">, let </w:t>
      </w:r>
      <m:oMath>
        <m:sSubSup>
          <m:e>
            <m:r>
              <m:t>q</m:t>
            </m:r>
          </m:e>
          <m:sub>
            <m:r>
              <m:t>c,D,h</m:t>
            </m:r>
          </m:sub>
          <m:sup>
            <m:r>
              <m:t>C</m:t>
            </m:r>
          </m:sup>
        </m:sSubSup>
        <m:r>
          <m:t>(τ)</m:t>
        </m:r>
      </m:oMath>
      <w:r>
        <w:t xml:space="preserve"> denote the base forecast.</w:t>
      </w:r>
    </w:p>
    <w:p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−</m:t>
                  </m:r>
                </m:sup>
              </m:sSubSup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num>
            <m:den>
              <m:sSubSup>
                <m:e>
                  <m:r>
                    <m:t>x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−</m:t>
                  </m:r>
                </m:sup>
              </m:sSubSup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t>+R</m:t>
              </m:r>
            </m:den>
          </m:f>
          <m:r>
            <m:t>,</m:t>
          </m:r>
          <m:sSubSup>
            <m:e>
              <m:r>
                <m:t>m</m:t>
              </m:r>
            </m:e>
            <m:sub>
              <m:r>
                <m:t>t</m:t>
              </m:r>
            </m:sub>
            <m:sup>
              <m:r>
                <m:t>+</m:t>
              </m:r>
            </m:sup>
          </m:sSubSup>
          <m:r>
            <m:t>=</m:t>
          </m:r>
          <m:sSubSup>
            <m:e>
              <m:r>
                <m:t>m</m:t>
              </m:r>
            </m:e>
            <m:sub>
              <m:r>
                <m:t>t</m:t>
              </m:r>
            </m:sub>
            <m:sup>
              <m:r>
                <m:t>−</m:t>
              </m:r>
            </m:sup>
          </m:sSubSup>
          <m:r>
            <m:t>+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sSub>
            <m:e>
              <m:limUpp>
                <m:e>
                  <m:r>
                    <m:t>ν</m:t>
                  </m:r>
                </m:e>
                <m:lim>
                  <m:r>
                    <m:t>~</m:t>
                  </m:r>
                </m:lim>
              </m:limUpp>
            </m:e>
            <m:sub>
              <m:r>
                <m:t>t</m:t>
              </m:r>
            </m:sub>
          </m:sSub>
          <m:r>
            <m:t>.</m:t>
          </m:r>
          <m:r>
            <m:rPr>
              <m:sty m:val="p"/>
            </m:rPr>
            <m:t xml:space="preserve">    (1)</m:t>
          </m:r>
        </m:oMath>
      </m:oMathPara>
    </w:p>
    <w:p>
      <m:oMathPara>
        <m:oMathParaPr>
          <m:jc m:val="center"/>
        </m:oMathParaPr>
        <m:oMath>
          <m:limUpp>
            <m:e>
              <m:r>
                <m:t>B</m:t>
              </m:r>
            </m:e>
            <m:lim>
              <m:r>
                <m:t>^</m:t>
              </m:r>
            </m:lim>
          </m:limUpp>
          <m:r>
            <m:t>=(</m:t>
          </m:r>
          <m:sSup>
            <m:e>
              <m:r>
                <m:t>X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t>X+αI</m:t>
          </m:r>
          <m:sSup>
            <m:e>
              <m:r>
                <m:t>)</m:t>
              </m:r>
            </m:e>
            <m:sup>
              <m:r>
                <m:t>−1</m:t>
              </m:r>
            </m:sup>
          </m:sSup>
          <m:sSup>
            <m:e>
              <m:r>
                <m:t>X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t>Y.</m:t>
          </m:r>
          <m:r>
            <m:rPr>
              <m:sty m:val="p"/>
            </m:rPr>
            <m:t xml:space="preserve">    (2)</m:t>
          </m:r>
        </m:oMath>
      </m:oMathPara>
    </w:p>
    <w:p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τ</m:t>
              </m:r>
            </m:sub>
          </m:sSub>
          <m:r>
            <m:t>(u)=u</m:t>
          </m:r>
          <m:d>
            <m:dPr>
              <m:sepChr m:val=""/>
            </m:dPr>
            <m:e>
              <m:r>
                <m:t>τ</m:t>
              </m:r>
              <m:r>
                <m:t>−</m:t>
              </m:r>
              <m:r>
                <m:rPr>
                  <m:sty m:val="b"/>
                </m:rPr>
                <m:t>1</m:t>
              </m:r>
              <m:r>
                <m:t>{</m:t>
              </m:r>
              <m:r>
                <m:t>u</m:t>
              </m:r>
              <m:r>
                <m:t>&lt;</m:t>
              </m:r>
              <m:r>
                <m:t>0</m:t>
              </m:r>
              <m:r>
                <m:t>}</m:t>
              </m:r>
            </m:e>
          </m:d>
          <m:r>
            <m:t>,</m:t>
          </m:r>
          <m:r>
            <m:t>ℒ=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τ</m:t>
                  </m:r>
                </m:sub>
              </m:sSub>
            </m:e>
          </m:nary>
          <m: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limUpp>
                <m:e>
                  <m:r>
                    <m:t>q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i</m:t>
              </m:r>
            </m:sub>
          </m:sSub>
          <m:r>
            <m:t>).</m:t>
          </m:r>
          <m:r>
            <m:rPr>
              <m:sty m:val="p"/>
            </m:rPr>
            <m:t xml:space="preserve">    (3)</m:t>
          </m:r>
        </m:oMath>
      </m:oMathPara>
    </w:p>
    <w:p>
      <m:oMathPara>
        <m:oMathParaPr>
          <m:jc m:val="center"/>
        </m:oMathParaPr>
        <m:oMath>
          <m:sSub>
            <m:e>
              <m:r>
                <m:t>χ</m:t>
              </m:r>
            </m:e>
            <m:sub>
              <m:r>
                <m:t>i</m:t>
              </m:r>
            </m:sub>
          </m:sSub>
          <m:r>
            <m:t>=m+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b>
            <m:e>
              <m:r>
                <m:t>L</m:t>
              </m:r>
            </m:e>
            <m:sub>
              <m:r>
                <m:t>:,i</m:t>
              </m:r>
            </m:sub>
          </m:sSub>
          <m:r>
            <m:t>,</m:t>
          </m:r>
          <m:r>
            <m:t>P=L</m:t>
          </m:r>
          <m:sSup>
            <m:e>
              <m:r>
                <m:t>L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t>,</m:t>
          </m:r>
          <m:r>
            <m:t>i=1,…,d.</m:t>
          </m:r>
          <m:r>
            <m:rPr>
              <m:sty m:val="p"/>
            </m:rPr>
            <m:t xml:space="preserve">    (4)</m:t>
          </m:r>
        </m:oMath>
      </m:oMathPara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mbria" w:hAnsi="Cambria"/>
      <w:b/>
      <w:bCs/>
      <w:caps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mbria" w:hAnsi="Cambria"/>
      <w:b/>
      <w:bCs/>
      <w:caps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mbria" w:hAnsi="Cambria"/>
      <w:b/>
      <w:bCs/>
      <w:caps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mbria" w:hAnsi="Cambria"/>
      <w:b/>
      <w:caps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0" w:lineRule="auto" w:after="160"/>
    </w:pPr>
    <w:rPr>
      <w:rFonts w:ascii="Times New Roman" w:hAnsi="Times New Roma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NYX for hourly day ahead electricity price forecasting across four European markets</dc:title>
  <dc:subject>Retrospective experimental research manuscript</dc:subject>
  <dc:creator>Yoan Kesraoui</dc:creator>
  <cp:keywords>electricity price forecasting, NYX, Chronos-2, residual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