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keepNext/>
      </w:pPr>
      <w:r>
        <w:t>Oil Market Weekly Update</w:t>
      </w:r>
    </w:p>
    <w:p>
      <w:pPr>
        <w:pStyle w:val="Subtitle"/>
        <w:keepNext/>
      </w:pPr>
      <w:r>
        <w:t>13 August 2026  ·  Data as of 11:10 Paris time</w:t>
      </w:r>
    </w:p>
    <w:p>
      <w:pPr>
        <w:pStyle w:val="Deck"/>
        <w:pBdr>
          <w:bottom w:val="single" w:sz="8" w:space="6" w:color="1A3C5E"/>
        </w:pBdr>
      </w:pPr>
      <w:r>
        <w:t>Risk premium returns as Hormuz talks stall, while a large inventory build caps the rally.</w:t>
      </w:r>
    </w:p>
    <w:p>
      <w:pPr>
        <w:pStyle w:val="Heading1"/>
        <w:keepNext/>
      </w:pPr>
      <w:r>
        <w:t>Macro &amp; oil market</w:t>
      </w:r>
    </w:p>
    <w:p>
      <w:pPr>
        <w:pStyle w:val="BodyText"/>
        <w:jc w:val="both"/>
      </w:pPr>
      <w:r>
        <w:t>The previous week, Brent front-month futures fell sharply from a July 31 close of $90.12/b to an Aug. 7 close of $83.55/b, a 7.3% decline. Investors reduced the geopolitical risk premium as Iran and Oman appeared closer to an arrangement that could facilitate traffic through the Strait of Hormuz. This optimism outweighed the continuing disruption to physical oil flows.</w:t>
      </w:r>
    </w:p>
    <w:p>
      <w:pPr>
        <w:jc w:val="center"/>
        <w:keepNext/>
      </w:pPr>
      <w:r>
        <w:drawing>
          <wp:inline distT="0" distB="0" distL="0" distR="0">
            <wp:extent cx="6080760" cy="2616764"/>
            <wp:effectExtent l="0" t="0" r="0" b="0"/>
            <wp:docPr id="1" name="Brent front-month futures" descr="Brent price chart from July 31 to August 13, 2026"/>
            <wp:cNvGraphicFramePr>
              <a:graphicFrameLocks noChangeAspect="1"/>
            </wp:cNvGraphicFramePr>
            <a:graphic>
              <a:graphicData uri="http://schemas.openxmlformats.org/drawingml/2006/picture">
                <pic:pic>
                  <pic:nvPicPr>
                    <pic:cNvPr id="0" name="Brent front-month futures"/>
                    <pic:cNvPicPr/>
                  </pic:nvPicPr>
                  <pic:blipFill>
                    <a:blip r:embed="rIdImage1"/>
                    <a:stretch>
                      <a:fillRect/>
                    </a:stretch>
                  </pic:blipFill>
                  <pic:spPr>
                    <a:xfrm>
                      <a:off x="0" y="0"/>
                      <a:ext cx="6080760" cy="2616764"/>
                    </a:xfrm>
                    <a:prstGeom prst="rect">
                      <a:avLst/>
                    </a:prstGeom>
                  </pic:spPr>
                </pic:pic>
              </a:graphicData>
            </a:graphic>
          </wp:inline>
        </w:drawing>
      </w:r>
    </w:p>
    <w:p>
      <w:pPr>
        <w:pStyle w:val="Caption"/>
        <w:jc w:val="center"/>
      </w:pPr>
      <w:r>
        <w:t>Figure 1 · Brent front-month futures. Daily close in USD/bbl; Aug. 13 is an intraday snapshot. Source: Yahoo Finance (BZ=F).</w:t>
      </w:r>
    </w:p>
    <w:p>
      <w:pPr>
        <w:pageBreakBefore/>
      </w:pPr>
    </w:p>
    <w:p>
      <w:pPr>
        <w:pStyle w:val="Heading1"/>
        <w:keepNext/>
      </w:pPr>
      <w:r>
        <w:t>Macro &amp; oil market · continued</w:t>
      </w:r>
    </w:p>
    <w:p>
      <w:pPr>
        <w:pStyle w:val="BodyText"/>
        <w:jc w:val="both"/>
      </w:pPr>
      <w:r>
        <w:t>However, sentiment reversed quickly this week. The stringent conditions set by Iran for reopening Hormuz, combined with renewed attacks on vessels and Saudi energy infrastructure, revived supply concerns. Brent consequently closed at $88.98/b on Aug. 12, 6.5% above the previous Friday’s close. Against this backdrop, the IEA estimates that the global oil market deficit could reach 1.8 mb/d in the third quarter.</w:t>
      </w:r>
    </w:p>
    <w:p>
      <w:pPr>
        <w:pStyle w:val="BodyText"/>
        <w:jc w:val="both"/>
      </w:pPr>
      <w:r>
        <w:t>Nevertheless, the rally lost momentum this Thursday Aug. 13, with Brent trading around $87.38/b intraday. A 17.4 mb increase in US commercial crude inventories, together with downward revisions to 2026 demand from OPEC and the IEA, capped the upside. Investors are now monitoring US–Iran negotiations and actual traffic through Hormuz: a credible agreement would weigh on prices, while a prolonged closure would preserve a substantial geopolitical premium.</w:t>
      </w:r>
    </w:p>
    <w:p>
      <w:pPr>
        <w:jc w:val="center"/>
        <w:keepNext/>
      </w:pPr>
      <w:r>
        <w:drawing>
          <wp:inline distT="0" distB="0" distL="0" distR="0">
            <wp:extent cx="6080760" cy="2391551"/>
            <wp:effectExtent l="0" t="0" r="0" b="0"/>
            <wp:docPr id="2" name="U.S. commercial crude inventories" descr="Weekly changes in U.S. commercial crude inventories"/>
            <wp:cNvGraphicFramePr>
              <a:graphicFrameLocks noChangeAspect="1"/>
            </wp:cNvGraphicFramePr>
            <a:graphic>
              <a:graphicData uri="http://schemas.openxmlformats.org/drawingml/2006/picture">
                <pic:pic>
                  <pic:nvPicPr>
                    <pic:cNvPr id="0" name="U.S. commercial crude inventories"/>
                    <pic:cNvPicPr/>
                  </pic:nvPicPr>
                  <pic:blipFill>
                    <a:blip r:embed="rIdImage2"/>
                    <a:stretch>
                      <a:fillRect/>
                    </a:stretch>
                  </pic:blipFill>
                  <pic:spPr>
                    <a:xfrm>
                      <a:off x="0" y="0"/>
                      <a:ext cx="6080760" cy="2391551"/>
                    </a:xfrm>
                    <a:prstGeom prst="rect">
                      <a:avLst/>
                    </a:prstGeom>
                  </pic:spPr>
                </pic:pic>
              </a:graphicData>
            </a:graphic>
          </wp:inline>
        </w:drawing>
      </w:r>
    </w:p>
    <w:p>
      <w:pPr>
        <w:pStyle w:val="Caption"/>
        <w:jc w:val="center"/>
      </w:pPr>
      <w:r>
        <w:t>Figure 2 · Weekly change in U.S. commercial crude inventories, excluding the Strategic Petroleum Reserve. Source: U.S. EIA, released Aug. 12, 2026.</w:t>
      </w:r>
    </w:p>
    <w:p>
      <w:pPr>
        <w:pStyle w:val="Heading2"/>
        <w:keepNext/>
      </w:pPr>
      <w:r>
        <w:t>Sources</w:t>
      </w:r>
    </w:p>
    <w:p>
      <w:pPr>
        <w:pStyle w:val="Sources"/>
      </w:pPr>
      <w:hyperlink r:id="rIdYahoo" w:history="1">
        <w:r>
          <w:rPr>
            <w:rStyle w:val="Hyperlink"/>
          </w:rPr>
          <w:t>Yahoo Finance · Brent Crude Oil Last Day Financial (BZ=F), historical data</w:t>
        </w:r>
      </w:hyperlink>
    </w:p>
    <w:p>
      <w:pPr>
        <w:pStyle w:val="Sources"/>
      </w:pPr>
      <w:hyperlink r:id="rIdOGJ7" w:history="1">
        <w:r>
          <w:rPr>
            <w:rStyle w:val="Hyperlink"/>
          </w:rPr>
          <w:t>Oil &amp; Gas Journal · Crude falls on possible Hormuz arrangement · Aug. 7, 2026</w:t>
        </w:r>
      </w:hyperlink>
    </w:p>
    <w:p>
      <w:pPr>
        <w:pStyle w:val="Sources"/>
      </w:pPr>
      <w:hyperlink r:id="rIdOil10" w:history="1">
        <w:r>
          <w:rPr>
            <w:rStyle w:val="Hyperlink"/>
          </w:rPr>
          <w:t>OilPrice.com · Oil Prices Rise as Iran Hardens Hormuz Demands · Aug. 10, 2026</w:t>
        </w:r>
      </w:hyperlink>
    </w:p>
    <w:p>
      <w:pPr>
        <w:pStyle w:val="Sources"/>
      </w:pPr>
      <w:hyperlink r:id="rIdEIA" w:history="1">
        <w:r>
          <w:rPr>
            <w:rStyle w:val="Hyperlink"/>
          </w:rPr>
          <w:t>U.S. EIA · Weekly U.S. commercial crude inventories excluding SPR</w:t>
        </w:r>
      </w:hyperlink>
    </w:p>
    <w:p>
      <w:pPr>
        <w:pStyle w:val="Sources"/>
      </w:pPr>
      <w:hyperlink r:id="rIdOGJ12" w:history="1">
        <w:r>
          <w:rPr>
            <w:rStyle w:val="Hyperlink"/>
          </w:rPr>
          <w:t>Oil &amp; Gas Journal · IEA revises down 2026 oil demand forecast · Aug. 12, 2026</w:t>
        </w:r>
      </w:hyperlink>
    </w:p>
    <w:p>
      <w:pPr>
        <w:pStyle w:val="Sources"/>
      </w:pPr>
      <w:hyperlink r:id="rIdOil13" w:history="1">
        <w:r>
          <w:rPr>
            <w:rStyle w:val="Hyperlink"/>
          </w:rPr>
          <w:t>OilPrice.com · Oil Prices Fall as OPEC and IEA Slash 2026 Demand Outlooks · Aug. 13, 2026</w:t>
        </w:r>
      </w:hyperlink>
    </w:p>
    <w:sectPr>
      <w:headerReference w:type="default" r:id="rIdHeader"/>
      <w:footerReference w:type="default" r:id="rIdFooter"/>
      <w:pgSz w:w="11906" w:h="16838"/>
      <w:pgMar w:top="1080" w:right="1008" w:bottom="1080" w:left="1008" w:header="540" w:footer="540" w:gutter="0"/>
      <w:cols w:space="720"/>
      <w:docGrid w:linePitch="360"/>
    </w:sectPr>
  </w:body>
</w:document>
</file>

<file path=word/footer1.xml><?xml version="1.0" encoding="utf-8"?>
<w:ftr xmlns:w="http://schemas.openxmlformats.org/wordprocessingml/2006/main">
  <w:p>
    <w:pPr>
      <w:jc w:val="center"/>
      <w:pBdr>
        <w:top w:val="single" w:sz="4" w:space="4" w:color="D7DDE3"/>
      </w:pBdr>
    </w:pPr>
    <w:r>
      <w:rPr>
        <w:color w:val="5B6770"/>
        <w:sz w:val="15"/>
        <w:szCs w:val="15"/>
      </w:rPr>
      <w:t>13 August 2026  ·  Page </w:t>
    </w:r>
    <w:fldSimple w:instr=" PAGE ">
      <w:r>
        <w:rPr>
          <w:color w:val="5B6770"/>
          <w:sz w:val="15"/>
          <w:szCs w:val="15"/>
        </w:rPr>
        <w:t>1</w:t>
      </w:r>
    </w:fldSimple>
  </w:p>
</w:ftr>
</file>

<file path=word/header1.xml><?xml version="1.0" encoding="utf-8"?>
<w:hdr xmlns:w="http://schemas.openxmlformats.org/wordprocessingml/2006/main">
  <w:p>
    <w:pPr>
      <w:jc w:val="right"/>
      <w:pBdr>
        <w:bottom w:val="single" w:sz="4" w:space="4" w:color="AEB7C2"/>
      </w:pBdr>
    </w:pPr>
    <w:r>
      <w:rPr>
        <w:b/>
        <w:color w:val="1A3C5E"/>
        <w:sz w:val="16"/>
        <w:szCs w:val="16"/>
      </w:rPr>
      <w:t>OIL MARKET WEEKLY UPDATE</w:t>
    </w:r>
  </w:p>
</w:hdr>
</file>

<file path=word/settings.xml><?xml version="1.0" encoding="utf-8"?>
<w:settings xmlns:w="http://schemas.openxmlformats.org/wordprocessingml/2006/main">
  <w:updateFields w:val="true"/>
  <w:defaultTabStop w:val="720"/>
  <w:decimalSymbol w:val="."/>
  <w:listSeparator w:val=","/>
</w:settings>
</file>

<file path=word/styles.xml><?xml version="1.0" encoding="utf-8"?>
<w:styles xmlns:w="http://schemas.openxmlformats.org/wordprocessingml/2006/main">
  <w:docDefaults>
    <w:rPrDefault>
      <w:rPr>
        <w:rFonts w:ascii="Aptos" w:hAnsi="Aptos" w:eastAsia="Aptos" w:cs="Aptos"/>
        <w:sz w:val="21"/>
        <w:szCs w:val="21"/>
        <w:color w:val="24323F"/>
        <w:lang w:val="en-GB"/>
      </w:rPr>
    </w:rPrDefault>
    <w:pPrDefault>
      <w:pPr>
        <w:spacing w:after="100" w:line="276" w:lineRule="auto"/>
      </w:pPr>
    </w:pPrDefault>
  </w:docDefaults>
  <w:style w:type="paragraph" w:default="1" w:styleId="Normal">
    <w:name w:val="Normal"/>
    <w:qFormat/>
    <w:rPr>
      <w:rFonts w:ascii="Aptos" w:hAnsi="Aptos"/>
      <w:sz w:val="21"/>
      <w:szCs w:val="21"/>
    </w:rPr>
  </w:style>
  <w:style w:type="paragraph" w:styleId="Title">
    <w:name w:val="Title"/>
    <w:basedOn w:val="Normal"/>
    <w:qFormat/>
    <w:pPr>
      <w:spacing w:before="0" w:after="60"/>
      <w:keepNext/>
    </w:pPr>
    <w:rPr>
      <w:rFonts w:ascii="Aptos Display" w:hAnsi="Aptos Display"/>
      <w:b/>
      <w:color w:val="1A3C5E"/>
      <w:sz w:val="42"/>
      <w:szCs w:val="42"/>
    </w:rPr>
  </w:style>
  <w:style w:type="paragraph" w:styleId="Subtitle">
    <w:name w:val="Subtitle"/>
    <w:basedOn w:val="Normal"/>
    <w:pPr>
      <w:spacing w:after="100"/>
      <w:keepNext/>
    </w:pPr>
    <w:rPr>
      <w:i/>
      <w:color w:val="5B6770"/>
      <w:sz w:val="19"/>
      <w:szCs w:val="19"/>
    </w:rPr>
  </w:style>
  <w:style w:type="paragraph" w:styleId="Deck">
    <w:name w:val="Deck"/>
    <w:basedOn w:val="Normal"/>
    <w:pPr>
      <w:spacing w:before="0" w:after="200"/>
      <w:keepNext/>
    </w:pPr>
    <w:rPr>
      <w:b/>
      <w:color w:val="24323F"/>
      <w:sz w:val="23"/>
      <w:szCs w:val="23"/>
    </w:rPr>
  </w:style>
  <w:style w:type="paragraph" w:styleId="Heading1">
    <w:name w:val="heading 1"/>
    <w:basedOn w:val="Normal"/>
    <w:next w:val="BodyText"/>
    <w:qFormat/>
    <w:pPr>
      <w:spacing w:before="120" w:after="100"/>
      <w:keepNext/>
      <w:keepLines/>
    </w:pPr>
    <w:rPr>
      <w:b/>
      <w:color w:val="1A3C5E"/>
      <w:sz w:val="30"/>
      <w:szCs w:val="30"/>
    </w:rPr>
  </w:style>
  <w:style w:type="paragraph" w:styleId="Heading2">
    <w:name w:val="heading 2"/>
    <w:basedOn w:val="Normal"/>
    <w:next w:val="Sources"/>
    <w:qFormat/>
    <w:pPr>
      <w:spacing w:before="160" w:after="60"/>
      <w:keepNext/>
    </w:pPr>
    <w:rPr>
      <w:b/>
      <w:color w:val="1A3C5E"/>
      <w:sz w:val="23"/>
      <w:szCs w:val="23"/>
    </w:rPr>
  </w:style>
  <w:style w:type="paragraph" w:styleId="BodyText">
    <w:name w:val="Body Text"/>
    <w:basedOn w:val="Normal"/>
    <w:pPr>
      <w:spacing w:after="130" w:line="282" w:lineRule="auto"/>
      <w:widowControl/>
      <w:jc w:val="both"/>
    </w:pPr>
    <w:rPr>
      <w:sz w:val="21"/>
      <w:szCs w:val="21"/>
    </w:rPr>
  </w:style>
  <w:style w:type="paragraph" w:styleId="Caption">
    <w:name w:val="Caption"/>
    <w:basedOn w:val="Normal"/>
    <w:pPr>
      <w:spacing w:before="30" w:after="100"/>
      <w:keepLines/>
    </w:pPr>
    <w:rPr>
      <w:i/>
      <w:color w:val="5B6770"/>
      <w:sz w:val="17"/>
      <w:szCs w:val="17"/>
    </w:rPr>
  </w:style>
  <w:style w:type="paragraph" w:styleId="Sources">
    <w:name w:val="Sources"/>
    <w:basedOn w:val="Normal"/>
    <w:pPr>
      <w:spacing w:after="25" w:line="220" w:lineRule="auto"/>
    </w:pPr>
    <w:rPr>
      <w:color w:val="5B6770"/>
      <w:sz w:val="16"/>
      <w:szCs w:val="16"/>
    </w:rPr>
  </w:style>
  <w:style w:type="character" w:styleId="Hyperlink">
    <w:name w:val="Hyperlink"/>
    <w:basedOn w:val="DefaultParagraphFont"/>
    <w:uiPriority w:val="99"/>
    <w:unhideWhenUsed/>
    <w:rPr>
      <w:color w:val="1A5A96"/>
      <w:u w:val="single"/>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 Id="rIdYahoo" Type="http://schemas.openxmlformats.org/officeDocument/2006/relationships/hyperlink" Target="https://finance.yahoo.com/quote/BZ%3DF/history/" TargetMode="External"/>
 <Relationship Id="rIdOGJ7" Type="http://schemas.openxmlformats.org/officeDocument/2006/relationships/hyperlink" Target="https://www.ogj.com/general-interest/economics-markets/article/55396683/crude-oil-falls-on-possible-strait-of-hormuz-arrangement" TargetMode="External"/>
 <Relationship Id="rIdOil10" Type="http://schemas.openxmlformats.org/officeDocument/2006/relationships/hyperlink" Target="https://oilprice.com/Latest-Energy-News/World-News/Oil-Prices-Rise-as-Iran-Hardens-Hormuz-Demands.html" TargetMode="External"/>
 <Relationship Id="rIdEIA" Type="http://schemas.openxmlformats.org/officeDocument/2006/relationships/hyperlink" Target="https://www.eia.gov/dnav/pet/hist/LeafHandler.ashx?n=PET&amp;s=WCESTUS1&amp;f=W" TargetMode="External"/>
 <Relationship Id="rIdOGJ12" Type="http://schemas.openxmlformats.org/officeDocument/2006/relationships/hyperlink" Target="https://www.ogj.com/general-interest/economics-markets/news/55397558/iea-revises-down-2026-oil-demand-forecast" TargetMode="External"/>
 <Relationship Id="rIdOil13" Type="http://schemas.openxmlformats.org/officeDocument/2006/relationships/hyperlink" Target="https://oilprice.com/Latest-Energy-News/World-News/Oil-Prices-Fall-as-OPEC-and-IEA-Slash-2026-Demand-Outlooks.html" TargetMode="Externa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Market Weekly Update — 13 August 2026</dc:title>
  <dc:subject>Brent prices, Strait of Hormuz and U.S. crude inventories</dc:subject>
  <dc:creator>Energy Market Analysis</dc:creator>
  <cp:keywords>Brent; oil; Hormuz; inventories; IEA; OPEC</cp:keywords>
  <dc:description>Two-week oil market update with price and inventory charts.</dc:description>
  <cp:lastModifiedBy>Energy Market Analysis</cp:lastModifiedBy>
  <dcterms:created xsi:type="dcterms:W3CDTF">2026-08-13T12:21:44Z</dcterms:created>
  <dcterms:modified xsi:type="dcterms:W3CDTF">2026-08-13T12:21:44Z</dcterms:modified>
</cp:coreProperties>
</file>