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color w:val="1F4E79"/>
          <w:sz w:val="40"/>
          <w:rFonts w:ascii="微软雅黑" w:eastAsia="微软雅黑"/>
        </w:rPr>
        <w:t>云枢智服 9月第2周经营周报</w:t>
      </w:r>
    </w:p>
    <w:p>
      <w:pPr>
        <w:jc w:val="center"/>
      </w:pPr>
      <w:r>
        <w:rPr>
          <w:color w:val="595959"/>
          <w:sz w:val="18"/>
        </w:rPr>
        <w:t>汇报周期：2026年9月第2周（9月7日—9月13日）　|　报告日期：2026年9月16日　|　数据来源：财务周草稿（内部）</w:t>
      </w:r>
    </w:p>
    <w:p>
      <w:pPr>
        <w:jc w:val="justify"/>
        <w:ind w:left="120" w:right="120"/>
        <w:spacing w:before="120" w:after="120"/>
      </w:pPr>
      <w:r>
        <w:t>本周结论：收入与回款节奏基本可控（本周确认收入 186 万，清和 48 万已回款），但星河验收延期是本周最大变量——客户验收条款已由「功能清单」改为「连续 7 天无 P1」，若 9 月内无法完成验收，二期尾款 126 万与续费将同时停滞，需在剩余两周内与对方经营层直接对齐。</w:t>
      </w:r>
    </w:p>
    <w:p>
      <w:pPr>
        <w:pStyle w:val="Heading1"/>
      </w:pPr>
      <w:r>
        <w:rPr>
          <w:b/>
          <w:color w:val="1F4E79"/>
          <w:sz w:val="28"/>
        </w:rPr>
        <w:t>一、本周进展</w:t>
      </w:r>
    </w:p>
    <w:p>
      <w:pPr>
        <w:numPr>
          <w:ilvl w:val="0"/>
          <w:numId w:val="1"/>
        </w:numPr>
      </w:pPr>
      <w:r>
        <w:t>交付：星河项目内部联调已于周四完成，验收文档还差 2 页；客户方验收口径仍在调整，原定 9/12 的验收节点大概率赶不上。</w:t>
      </w:r>
    </w:p>
    <w:p>
      <w:pPr>
        <w:numPr>
          <w:ilvl w:val="0"/>
          <w:numId w:val="1"/>
        </w:numPr>
      </w:pPr>
      <w:r>
        <w:t>回款：清和 48 万本周已到账；星河 2 期尾款 126 万仍卡在验收环节，何书婷已催办两次。</w:t>
      </w:r>
    </w:p>
    <w:p>
      <w:pPr>
        <w:numPr>
          <w:ilvl w:val="0"/>
          <w:numId w:val="1"/>
        </w:numPr>
      </w:pPr>
      <w:r>
        <w:t>收入：本周确认收入 186 万（含清和 48 万），本月累计确认收入 612 万，月累计毛利率 67.1%。</w:t>
      </w:r>
    </w:p>
    <w:p>
      <w:pPr>
        <w:numPr>
          <w:ilvl w:val="0"/>
          <w:numId w:val="1"/>
        </w:numPr>
      </w:pPr>
      <w:r>
        <w:t>商机与续费：本周新增线索 11 个，其中 3 个进入方案阶段；续费有两家客户处于观望，其中一家明确以星河验收结果为签约前提。</w:t>
      </w:r>
    </w:p>
    <w:p>
      <w:pPr>
        <w:pStyle w:val="Heading1"/>
      </w:pPr>
      <w:r>
        <w:rPr>
          <w:b/>
          <w:color w:val="1F4E79"/>
          <w:sz w:val="28"/>
        </w:rPr>
        <w:t>二、关键数字</w:t>
      </w:r>
    </w:p>
    <w:tbl>
      <w:tblPr>
        <w:jc w:val="center"/>
        <w:tblW w:w="5000" w:type="pct"/>
        <w:tblLayout w:val="fixed"/>
        <w:tblBorders>
          <w:top w:val="single" w:color="BFBFBF" w:sz="4"/>
          <w:right w:val="single" w:color="BFBFBF" w:sz="4"/>
          <w:bottom w:val="single" w:color="BFBFBF" w:sz="4"/>
          <w:lef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shd w:fill="1F4E79"/>
          </w:tcPr>
          <w:p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vAlign w:val="center"/>
            <w:shd w:fill="1F4E79"/>
          </w:tcPr>
          <w:p>
            <w:r>
              <w:rPr>
                <w:b/>
                <w:color w:val="FFFFFF"/>
                <w:sz w:val="21"/>
              </w:rPr>
              <w:t>本期数据</w:t>
            </w:r>
          </w:p>
        </w:tc>
        <w:tc>
          <w:tcPr>
            <w:vAlign w:val="center"/>
            <w:shd w:fill="1F4E79"/>
          </w:tcPr>
          <w:p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p>
            <w:r>
              <w:t>本周确认收入</w:t>
            </w:r>
          </w:p>
        </w:tc>
        <w:tc>
          <w:p>
            <w:r>
              <w:t>186 万</w:t>
            </w:r>
          </w:p>
        </w:tc>
        <w:tc>
          <w:p>
            <w:r>
              <w:t>含清和 48 万</w:t>
            </w:r>
          </w:p>
        </w:tc>
      </w:tr>
      <w:tr>
        <w:tc>
          <w:p>
            <w:r>
              <w:t>本月累计确认收入</w:t>
            </w:r>
          </w:p>
        </w:tc>
        <w:tc>
          <w:p>
            <w:r>
              <w:t>612 万</w:t>
            </w:r>
          </w:p>
        </w:tc>
        <w:tc>
          <w:p>
            <w:r>
              <w:t>本周占月累计 30.4%</w:t>
            </w:r>
          </w:p>
        </w:tc>
      </w:tr>
      <w:tr>
        <w:tc>
          <w:p>
            <w:r>
              <w:t>毛利率（月累计）</w:t>
            </w:r>
          </w:p>
        </w:tc>
        <w:tc>
          <w:p>
            <w:r>
              <w:t>67.1%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Q3 新增 ARR</w:t>
            </w:r>
          </w:p>
        </w:tc>
        <w:tc>
          <w:p>
            <w:r>
              <w:t>380 万</w:t>
            </w:r>
          </w:p>
        </w:tc>
        <w:tc>
          <w:p>
            <w:r>
              <w:t>进度落后于目标（站会：方立群）</w:t>
            </w:r>
          </w:p>
        </w:tc>
      </w:tr>
      <w:tr>
        <w:tc>
          <w:p>
            <w:r>
              <w:t>在手待回款</w:t>
            </w:r>
          </w:p>
        </w:tc>
        <w:tc>
          <w:p>
            <w:r>
              <w:t>126 万</w:t>
            </w:r>
          </w:p>
        </w:tc>
        <w:tc>
          <w:p>
            <w:r>
              <w:t>星河 2 期尾款，验收通过后 10 个工作日内付款</w:t>
            </w:r>
          </w:p>
        </w:tc>
      </w:tr>
      <w:tr>
        <w:tc>
          <w:p>
            <w:r>
              <w:t>本周回款</w:t>
            </w:r>
          </w:p>
        </w:tc>
        <w:tc>
          <w:p>
            <w:r>
              <w:t>48 万</w:t>
            </w:r>
          </w:p>
        </w:tc>
        <w:tc>
          <w:p>
            <w:r>
              <w:t>清和</w:t>
            </w:r>
          </w:p>
        </w:tc>
      </w:tr>
      <w:tr>
        <w:tc>
          <w:p>
            <w:r>
              <w:t>续费率（滚动 12 个月）</w:t>
            </w:r>
          </w:p>
        </w:tc>
        <w:tc>
          <w:p>
            <w:r>
              <w:t>124%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本周新增线索</w:t>
            </w:r>
          </w:p>
        </w:tc>
        <w:tc>
          <w:p>
            <w:r>
              <w:t>11 个</w:t>
            </w:r>
          </w:p>
        </w:tc>
        <w:tc>
          <w:p>
            <w:r>
              <w:t>其中 3 个进入方案阶段（27.3%）</w:t>
            </w:r>
          </w:p>
        </w:tc>
      </w:tr>
    </w:tbl>
    <w:p>
      <w:r>
        <w:rPr>
          <w:color w:val="595959"/>
          <w:sz w:val="18"/>
        </w:rPr>
        <w:t>口径说明：收入含订阅，不含未验收的实施尾款。</w:t>
      </w:r>
    </w:p>
    <w:p>
      <w:pPr>
        <w:pStyle w:val="Heading1"/>
      </w:pPr>
      <w:r>
        <w:rPr>
          <w:b/>
          <w:color w:val="1F4E79"/>
          <w:sz w:val="28"/>
        </w:rPr>
        <w:t>三、风险与问题</w:t>
      </w:r>
    </w:p>
    <w:p>
      <w:pPr>
        <w:numPr>
          <w:ilvl w:val="0"/>
          <w:numId w:val="1"/>
        </w:numPr>
      </w:pPr>
      <w:r>
        <w:t>星河验收延期（高）：客户验收条款已由「功能清单」改为「连续 7 天无 P1」，对方法务进一步要求补充违约金上限。若 9 月内无法完成验收，二期尾款 126 万与续费将同时停滞。责任人：苏明远 / 何书婷。</w:t>
      </w:r>
    </w:p>
    <w:p>
      <w:pPr>
        <w:numPr>
          <w:ilvl w:val="0"/>
          <w:numId w:val="1"/>
        </w:numPr>
      </w:pPr>
      <w:r>
        <w:t>对客承诺偏差（高）：我方承诺按期交付率 95%（8/21 例会纪要，陈嘉禾在场），当前验收延期已构成交付偏差，需尽快与客户经营层重新对齐口径。</w:t>
      </w:r>
    </w:p>
    <w:p>
      <w:pPr>
        <w:numPr>
          <w:ilvl w:val="0"/>
          <w:numId w:val="1"/>
        </w:numPr>
      </w:pPr>
      <w:r>
        <w:t>ARR 进度落后（中）：Q3 新增 ARR 目前 380 万，进度慢于目标，剩余时间有限，需加速重点线索转化。</w:t>
      </w:r>
    </w:p>
    <w:p>
      <w:pPr>
        <w:numPr>
          <w:ilvl w:val="0"/>
          <w:numId w:val="1"/>
        </w:numPr>
      </w:pPr>
      <w:r>
        <w:t>续费联动风险（中）：两家观望客户中，一家以星河验收结果作为签约前提，验收延期将直接传导至续费。</w:t>
      </w:r>
    </w:p>
    <w:p>
      <w:pPr>
        <w:numPr>
          <w:ilvl w:val="0"/>
          <w:numId w:val="1"/>
        </w:numPr>
      </w:pPr>
      <w:r>
        <w:t>信息口径风险（中）：客户风险信息为内部备忘，本报告仅限内部使用，请勿外发；财务数字为草稿口径，对外发布前需财务复核。</w:t>
      </w:r>
    </w:p>
    <w:p>
      <w:pPr>
        <w:pStyle w:val="Heading1"/>
      </w:pPr>
      <w:r>
        <w:rPr>
          <w:b/>
          <w:color w:val="1F4E79"/>
          <w:sz w:val="28"/>
        </w:rPr>
        <w:t>四、下周计划</w:t>
      </w:r>
    </w:p>
    <w:p>
      <w:pPr>
        <w:numPr>
          <w:ilvl w:val="0"/>
          <w:numId w:val="1"/>
        </w:numPr>
      </w:pPr>
      <w:r>
        <w:t>星河验收：与客户锁定新的验收口径（连续 7 天无 P1）及起算时间，补齐验收文档 2 页，推动尽快进入验收测试。</w:t>
      </w:r>
    </w:p>
    <w:p>
      <w:pPr>
        <w:numPr>
          <w:ilvl w:val="0"/>
          <w:numId w:val="1"/>
        </w:numPr>
      </w:pPr>
      <w:r>
        <w:t>风险说明：由苏明远 / 何书婷本周内提交一版可执行的风险说明，不作「风险已解除」表述。</w:t>
      </w:r>
    </w:p>
    <w:p>
      <w:pPr>
        <w:numPr>
          <w:ilvl w:val="0"/>
          <w:numId w:val="1"/>
        </w:numPr>
      </w:pPr>
      <w:r>
        <w:t>回款：持续跟催星河 2 期尾款 126 万，验收通过后 10 个工作日内确认到账。</w:t>
      </w:r>
    </w:p>
    <w:p>
      <w:pPr>
        <w:numPr>
          <w:ilvl w:val="0"/>
          <w:numId w:val="1"/>
        </w:numPr>
      </w:pPr>
      <w:r>
        <w:t>收入与 ARR：聚焦 3 个已进入方案阶段的线索推进签约，冲刺 Q3 新增 ARR。</w:t>
      </w:r>
    </w:p>
    <w:p>
      <w:pPr>
        <w:numPr>
          <w:ilvl w:val="0"/>
          <w:numId w:val="1"/>
        </w:numPr>
      </w:pPr>
      <w:r>
        <w:t>续费：对两家观望客户分层跟进，以星河验收进展作为促签依据。</w:t>
      </w:r>
    </w:p>
    <w:p>
      <w:pPr>
        <w:pStyle w:val="Heading1"/>
      </w:pPr>
      <w:r>
        <w:rPr>
          <w:b/>
          <w:color w:val="1F4E79"/>
          <w:sz w:val="28"/>
        </w:rPr>
        <w:t>五、需领导支持</w:t>
      </w:r>
    </w:p>
    <w:p>
      <w:pPr>
        <w:numPr>
          <w:ilvl w:val="0"/>
          <w:numId w:val="1"/>
        </w:numPr>
      </w:pPr>
      <w:r>
        <w:t>星河验收条款与违约金上限涉及商务与法务口径，建议本周内由公司与对方经营层直接对齐。</w:t>
      </w:r>
    </w:p>
    <w:p>
      <w:pPr>
        <w:numPr>
          <w:ilvl w:val="0"/>
          <w:numId w:val="1"/>
        </w:numPr>
      </w:pPr>
      <w:r>
        <w:t>若 9 月内验收无法完成，请提前决策二期尾款 126 万与续费风险的应对方案。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2026-09-16T07:08:55.443Z</dcterms:created>
  <dcterms:modified xsi:type="dcterms:W3CDTF">2026-09-16T07:08:55.443Z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