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交付合规同步记录</w:t>
      </w:r>
    </w:p>
    <w:p>
      <w:r>
        <w:t xml:space="preserve">结论摘要：当前项目不建议对外写成“风险已解除”，更合适的表述应是“在最终合规签署完成前，当前风险状态仍需保持跟进”。</w:t>
      </w:r>
    </w:p>
    <w:p>
      <w:r>
        <w:t xml:space="preserve">原因说明：虽然供应商主体接口清单已补齐，但最终合规附件仍有最后一项处于确认流程中，正式复核窗口尚未完全关闭。</w:t>
      </w:r>
    </w:p>
    <w:p>
      <w:r>
        <w:t xml:space="preserve">责任口径：最终复核窗口由合规负责人 Alice 牵头，交付侧配合对外同步措辞，财务动作不写进主负责人句。</w:t>
      </w:r>
    </w:p>
    <w:p>
      <w:pPr>
        <w:pStyle w:val="Heading2"/>
      </w:pPr>
      <w:r>
        <w:t xml:space="preserve">本周建议对外说法</w:t>
      </w:r>
    </w:p>
    <w:p>
      <w:r>
        <w:t xml:space="preserve">建议重点 1：整体节奏仍在推进，但剩余事项尚需继续跟进。</w:t>
      </w:r>
    </w:p>
    <w:p>
      <w:r>
        <w:t xml:space="preserve">建议重点 2：如需写卡点，请聚焦“最终合规签署完成前的确认环节”。</w:t>
      </w:r>
    </w:p>
    <w:p>
      <w:r>
        <w:t xml:space="preserve">建议重点 3：动作分工可在后续安排中单列 Bob 的材料补齐工作。</w:t>
      </w:r>
    </w:p>
    <w:p>
      <w:r>
        <w:t xml:space="preserve">建议重点 4：交付侧内部倾向认为风险在收敛，但对外不应直接下“收口完成”的结论。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2026-04-30T08:54:39.232Z</dcterms:created>
  <dcterms:modified xsi:type="dcterms:W3CDTF">2026-04-30T08:54:39.232Z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