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供应商接口补件说明</w:t>
      </w:r>
    </w:p>
    <w:p>
      <w:r>
        <w:t xml:space="preserve">本周已完成：供应商已补齐接口清单、历史缺漏字段说明和第一轮财务回执。</w:t>
      </w:r>
    </w:p>
    <w:p>
      <w:r>
        <w:t xml:space="preserve">仍待完成：最后一份合规附件仍在内部确认，预计需在最终复核前完成版本对齐。</w:t>
      </w:r>
    </w:p>
    <w:p>
      <w:r>
        <w:t xml:space="preserve">影响判断：当前状态说明风险正在收敛，但尚未到可以对外宣布“全部完成”的程度。</w:t>
      </w:r>
    </w:p>
    <w:p>
      <w:pPr>
        <w:pStyle w:val="Heading2"/>
      </w:pPr>
      <w:r>
        <w:t xml:space="preserve">补件状态补充</w:t>
      </w:r>
    </w:p>
    <w:p>
      <w:r>
        <w:t xml:space="preserve">1. 供应商反馈本周内可以补齐附件最终版，但需要和法务模板逐项核对。</w:t>
      </w:r>
    </w:p>
    <w:p>
      <w:r>
        <w:t xml:space="preserve">2. 如果周报需要体现进展，可以写“主体补件已完成，剩余事项进入最终确认”。</w:t>
      </w:r>
    </w:p>
    <w:p>
      <w:r>
        <w:t xml:space="preserve">3. 财务和法务动作仍是最后收口的关键依赖。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2026-04-30T08:54:39.238Z</dcterms:created>
  <dcterms:modified xsi:type="dcterms:W3CDTF">2026-04-30T08:54:39.238Z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