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Q2阶段复盘</w:t>
      </w:r>
    </w:p>
    <w:p>
      <w:r>
        <w:t xml:space="preserve">本季度整体来看，项目推进效率较第一季度有明显提升，但跨团队协同仍有不少改进空间。</w:t>
      </w:r>
    </w:p>
    <w:p>
      <w:r>
        <w:t xml:space="preserve">复盘中提到过风险沟通需要更稳妥，但这里讨论的是季度经验，不对应本周周报的正式事实依据。</w:t>
      </w:r>
    </w:p>
    <w:p>
      <w:r>
        <w:t xml:space="preserve">复盘建议后续完善“对外口径确认”流程，避免不同角色输出不一致。</w:t>
      </w:r>
    </w:p>
    <w:p>
      <w:r>
        <w:t xml:space="preserve">本文件可帮助理解长期背景，不应直接用于生成本周对外同步内容。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2026-04-30T08:54:39.262Z</dcterms:created>
  <dcterms:modified xsi:type="dcterms:W3CDTF">2026-04-30T08:54:39.262Z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