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Revue de Littérature V2 — Ajouts Deep Research</w:t>
      </w:r>
    </w:p>
    <w:p>
      <w:pPr>
        <w:pStyle w:val="Heading2"/>
      </w:pPr>
      <w:r>
        <w:t>Résumé des changements</w:t>
      </w:r>
    </w:p>
    <w:p>
      <w:r>
        <w:t>| # | Axe thématique | Position d'insertion | Mots ajoutés |</w:t>
      </w:r>
    </w:p>
    <w:p>
      <w:r>
        <w:t>|---|----------------|---------------------|--------------|</w:t>
      </w:r>
    </w:p>
    <w:p>
      <w:r>
        <w:t>| 1 | Multi-agent RAG et orchestration d'agents IA | Nouvelle sous-section 3.4 | ~550 |</w:t>
      </w:r>
    </w:p>
    <w:p>
      <w:r>
        <w:t>| 2 | Scoring stratégique et détection de signaux faibles | Enrichissement section 4.3 + nouvelle sous-section 2.4 | ~520 |</w:t>
      </w:r>
    </w:p>
    <w:p>
      <w:r>
        <w:t>| 3 | Souveraineté des données et bases vectorielles auto-hébergées | Nouvelle sous-section 5.3 | ~530 |</w:t>
      </w:r>
    </w:p>
    <w:p>
      <w:r>
        <w:t>| 4 | Multi-tenancy et personnalisation des systèmes KM | Enrichissement section 3.2 | ~480 |</w:t>
      </w:r>
    </w:p>
    <w:p>
      <w:r>
        <w:t>| 5 | Génération automatique de newsletters et curation IA | Nouvelle sous-section 4.4 | ~500 |</w:t>
      </w:r>
    </w:p>
    <w:p>
      <w:r>
        <w:t>| **Total** | | | **~2 580** |</w:t>
      </w:r>
    </w:p>
    <w:p>
      <w:r>
        <w:t>**Nouvelles références : 18**</w:t>
      </w:r>
    </w:p>
    <w:p>
      <w:r>
        <w:t>---</w:t>
      </w:r>
    </w:p>
    <w:p>
      <w:pPr>
        <w:pStyle w:val="Heading2"/>
      </w:pPr>
      <w:r>
        <w:t>Axe 1 — Multi-agent RAG et orchestration d'agents IA</w:t>
      </w:r>
    </w:p>
    <w:p>
      <w:pPr>
        <w:pStyle w:val="Heading3"/>
      </w:pPr>
      <w:r>
        <w:t>Position d'insertion : nouvelle sous-section 3.4 « Architectures multi-agents pour le RAG »</w:t>
      </w:r>
    </w:p>
    <w:p>
      <w:r>
        <w:t>L'évolution récente des systèmes RAG s'oriente vers une décomposition du pipeline monolithique en agents spécialisés orchestrés de manière coordonnée, paradigme désigné sous le terme de *Agentic RAG*. Singh et Ehtesham (2025), dans une survey exhaustive publiée sur arXiv, définissent le RAG agentique comme l'intégration d'agents autonomes au sein du pipeline RAG, dotés de capacités de réflexion, de planification, d'utilisation d'outils et de collaboration multi-agents. Ces agents « transcendent les limitations des workflows statiques » du RAG traditionnel en gérant dynamiquement les stratégies de retrieval, en affinant itérativement la compréhension contextuelle, et en adaptant les flux de travail aux exigences de tâches complexes (Singh et Ehtesham, 2025, p. 1). Cette survey identifie des applications dans des secteurs aussi divers que la santé, la finance et l'éducation, tout en soulignant les défis de passage à l'échelle et d'optimisation des performances.</w:t>
      </w:r>
    </w:p>
    <w:p>
      <w:r>
        <w:t>Nguyen et al. (2025) proposent MA-RAG, un framework multi-agents pour le RAG qui orchestre quatre agents spécialisés — Planner, Step Definer, Extractor et QA Agent — chacun responsable d'une étape distincte du pipeline. En décomposant les tâches en sous-tâches (désambiguïsation des requêtes, extraction de preuves, synthèse des réponses) et en permettant aux agents de communiquer leurs raisonnements intermédiaires via du *chain-of-thought prompting*, MA-RAG surpasse significativement les LLMs autonomes et les méthodes RAG existantes sur des benchmarks de question-réponse multi-hop (HotpotQA, 2WikimQA). Fait notable, un modèle LLaMA3-8B équipé de MA-RAG surpasse des LLMs autonomes de taille très supérieure (Nguyen et al., 2025).</w:t>
      </w:r>
    </w:p>
    <w:p>
      <w:r>
        <w:t>Dans le prolongement de ces travaux, Allam et al. (2024) présentent une méthodologie d'orchestration multi-agents dynamique spécifiquement conçue pour les systèmes de question-réponse multi-sources. Leur architecture combine la récupération depuis des documents (PDF) et des bases de données, en utilisant des agents qui routent intelligemment les requêtes vers les sources les plus pertinentes. Cette approche est particulièrement adaptée aux contextes d'intelligence stratégique où les données proviennent de sources hétérogènes — actualités, rapports historiques, données propriétaires — nécessitant des stratégies de retrieval différenciées.</w:t>
      </w:r>
    </w:p>
    <w:p>
      <w:r>
        <w:t>Du point de vue des mécanismes de collaboration, Tran et al. (2025) proposent une taxonomie détaillée des modes de collaboration entre agents basés sur les LLMs, distinguant notamment la collaboration séquentielle, parallèle et hiérarchique. Le pattern hiérarchique, dans lequel un agent routeur distribue les sous-tâches à des agents spécialisés, correspond précisément à l'architecture « superviseur → agents spécialisés → agrégation » préconisée pour les systèmes RAG multi-sources en entreprise. Sur le plan de l'implémentation, le framework LangGraph, développé par LangChain, modélise ces workflows comme des graphes d'états dirigés, permettant une gestion explicite des branchements conditionnels, de la persistance de l'état et de l'auditabilité du flux de décision (LangChain, 2024) — un critère essentiel dans un contexte d'intelligence stratégique où la traçabilité des sources constitue un impératif métier.</w:t>
      </w:r>
    </w:p>
    <w:p>
      <w:r>
        <w:t>---</w:t>
      </w:r>
    </w:p>
    <w:p>
      <w:pPr>
        <w:pStyle w:val="Heading2"/>
      </w:pPr>
      <w:r>
        <w:t>Axe 2 — Scoring stratégique et détection de signaux faibles</w:t>
      </w:r>
    </w:p>
    <w:p>
      <w:pPr>
        <w:pStyle w:val="Heading3"/>
      </w:pPr>
      <w:r>
        <w:t>Position d'insertion : enrichissement de la section 4.3 (après le contenu sur la génération de synthèses) + nouvelle sous-section 2.4</w:t>
      </w:r>
    </w:p>
    <w:p>
      <w:pPr>
        <w:pStyle w:val="Heading4"/>
      </w:pPr>
      <w:r>
        <w:t>2.4.1 Le paradigme LLM-as-a-Judge pour le scoring de pertinence</w:t>
      </w:r>
    </w:p>
    <w:p>
      <w:r>
        <w:t>Dans un contexte de veille concurrentielle où les sources se comptent par centaines, le volume d'information brute dépasse rapidement la capacité d'analyse humaine. L'utilisation de LLMs comme « juges » (*LLM-as-a-Judge*) pour évaluer et scorer la pertinence des contenus constitue une avancée méthodologique majeure. Deux surveys complémentaires publiées fin 2024 cartographient ce champ : Gu et al. (2024) proposent une taxonomie systématique des systèmes LLM-as-a-Judge, couvrant les méthodologies de construction, les domaines d'application et les méthodes d'évaluation de la fiabilité de ces systèmes. Parallèlement, Li et al. (2024) offrent une analyse exhaustive des méthodes d'évaluation basées sur les LLMs, démontrant que ces modèles peuvent assigner des scores de pertinence selon des critères définis par l'utilisateur avec une corrélation significative par rapport au jugement humain, tout en identifiant des biais persistants — notamment le biais de position et le biais de verbosité — qui nécessitent des stratégies d'atténuation spécifiques.</w:t>
      </w:r>
    </w:p>
    <w:p>
      <w:r>
        <w:t>Appliqué à la veille stratégique, ce paradigme permet de construire des pipelines de filtrage où chaque article ingéré se voit attribuer un score de pertinence stratégique (par exemple sur une échelle continue de 0 à 1) évalué par le LLM selon des critères contextualisés : impact sur le positionnement concurrentiel, dynamiques de marché, signaux réglementaires, innovations technologiques. Ce scoring sémantique, contrairement aux approches par mots-clés traditionnelles (Rouach et Santi, 2001), est capable de saisir la nuance contextuelle et les implications implicites d'un article.</w:t>
      </w:r>
    </w:p>
    <w:p>
      <w:pPr>
        <w:pStyle w:val="Heading4"/>
      </w:pPr>
      <w:r>
        <w:t>2.4.2 Détection automatisée de signaux faibles</w:t>
      </w:r>
    </w:p>
    <w:p>
      <w:r>
        <w:t>La détection de signaux faibles — ces informations émergentes dont la pertinence stratégique n'est pas immédiatement évidente mais qui, agrégées et contextualisées, révèlent des tendances de fond — constitue un enjeu central de la veille concurrentielle. Ha, Yang et Hong (2023), dans un article publié dans *Futures*, proposent une méthode automatisée de détection et de prédiction de signaux faibles combinant le clustering de réseaux de mots-clés et les réseaux convolutionnels sur graphes (GCN). Leur approche permet non seulement d'identifier les signaux faibles dans de vastes corpus textuels, mais également de prédire leur trajectoire de croissance sur une période de dix ans.</w:t>
      </w:r>
    </w:p>
    <w:p>
      <w:r>
        <w:t>Plus récemment, Ebadi, Auger et Gauthier (2024) présentent WISDOM, un framework alimenté par l'intelligence artificielle pour la détection de thèmes de recherche émergents, combinant la modélisation avancée de topics et l'analyse de signaux faibles. Publié dans le *Journal of Informetrics* (2026), ce travail démontre que l'approche automatisée surpasse les analyses bibliométriques traditionnelles en capacité à identifier les tendances interdisciplinaires émergentes, en traitant rapidement de vastes volumes de données et en découvrant des patterns inter-domaines cachés. L'intégration de ces approches de scoring par LLM et de détection de signaux faibles dans un pipeline unifié représente une opportunité significative pour les systèmes de veille de nouvelle génération.</w:t>
      </w:r>
    </w:p>
    <w:p>
      <w:r>
        <w:t>---</w:t>
      </w:r>
    </w:p>
    <w:p>
      <w:pPr>
        <w:pStyle w:val="Heading2"/>
      </w:pPr>
      <w:r>
        <w:t>Axe 3 — Souveraineté des données et bases vectorielles auto-hébergées</w:t>
      </w:r>
    </w:p>
    <w:p>
      <w:pPr>
        <w:pStyle w:val="Heading3"/>
      </w:pPr>
      <w:r>
        <w:t>Position d'insertion : nouvelle sous-section 5.3 « Souveraineté numérique et choix d'infrastructure pour les systèmes RAG »</w:t>
      </w:r>
    </w:p>
    <w:p>
      <w:r>
        <w:t>Au-delà du cadre réglementaire du RGPD et de l'AI Act analysés dans les sections précédentes, le choix des infrastructures techniques pour le déploiement de systèmes d'IA en entreprise soulève la question fondamentale de la souveraineté numérique. Nanni, Bizzaro et Napolitano (2024), dans un article publié dans *Policy &amp; Internet*, analysent les tensions entre souveraineté numérique individuelle et stratégies réglementaires européennes, mettant en lumière le rôle du Data Governance Act (2023) et du Data Act (2024) dans la structuration des flux de données au sein de l'Union européenne. Ces auteurs soulignent que l'AI Act, approuvé en 2024, constitue la première législation européenne globale sur l'intelligence artificielle et « représente une première mondiale » dans la régulation des systèmes d'IA (Nanni et al., 2024).</w:t>
      </w:r>
    </w:p>
    <w:p>
      <w:r>
        <w:t>Pour les systèmes de veille concurrentielle manipulant des informations sensibles — stratégies des concurrents, orientations business, données de marché — cette question de souveraineté revêt une dimension critique. Le rapport McKinsey sur la souveraineté IA en Europe (2025) souligne que les opérateurs de centres de données les plus compétitifs seront ceux combinant efficacité énergétique, conformité réglementaire et souveraineté des données, et recommande le développement d'infrastructures IA souveraines à travers des initiatives telles que EuroStack et les AI Factories de la Commission européenne.</w:t>
      </w:r>
    </w:p>
    <w:p>
      <w:r>
        <w:t>Le choix de l'infrastructure de stockage vectoriel illustre concrètement cette tension. Les bases de données vectorielles en mode SaaS, telles que Pinecone, offrent des performances optimisées et une facilité de déploiement, mais impliquent l'hébergement des embeddings — représentation sémantique dense des connaissances de l'entreprise — sur des serveurs cloud potentiellement soumis au *CLOUD Act* américain (2018). Des benchmarks récents (Timescale, 2024) montrent que pgvectorscale atteint 471 QPS à 99 % de recall sur 50 millions de vecteurs, soit des performances 11,4 fois supérieures à Qdrant et compétitives avec Pinecone. L'extension pgvector, intégrée nativement à PostgreSQL, permet de conserver l'intégralité des données vectorielles sur une infrastructure maîtrisée tout en bénéficiant de l'écosystème relationnel existant — notamment le Row Level Security (RLS), la recherche full-text native et le support JSON (Tiger Data, 2025). Des solutions européennes et open source comme Qdrant (développé en Rust, Allemagne) et Weaviate (Pays-Bas) proposent également des déploiements on-premise compatibles avec les exigences de conformité européenne.</w:t>
      </w:r>
    </w:p>
    <w:p>
      <w:r>
        <w:t>Le European Data Act, entré en application en 2024, renforce cette tendance en imposant des obligations de portabilité et d'interopérabilité des données entre fournisseurs de services cloud, avec la suppression progressive des frais de migration prévue pour 2027 (Latham &amp; Watkins, 2025). Cette dynamique réglementaire favorise structurellement les architectures ouvertes et auto-hébergées pour les systèmes RAG en entreprise.</w:t>
      </w:r>
    </w:p>
    <w:p>
      <w:r>
        <w:t>---</w:t>
      </w:r>
    </w:p>
    <w:p>
      <w:pPr>
        <w:pStyle w:val="Heading2"/>
      </w:pPr>
      <w:r>
        <w:t>Axe 4 — Multi-tenancy et personnalisation des systèmes de knowledge management</w:t>
      </w:r>
    </w:p>
    <w:p>
      <w:pPr>
        <w:pStyle w:val="Heading3"/>
      </w:pPr>
      <w:r>
        <w:t>Position d'insertion : enrichissement de la section 3.2, après la discussion sur les applications en contexte entreprise</w:t>
      </w:r>
    </w:p>
    <w:p>
      <w:r>
        <w:t>Un aspect central dans les déploiements industriels de systèmes RAG, encore peu exploré dans la littérature académique stricto sensu mais abondamment documenté dans la littérature technique, est la question de la personnalisation par département ou équipe. Microsoft (2024), dans son guide d'architecture Azure, formalise trois stratégies d'isolation pour les systèmes RAG multi-tenants : un magasin de données distinct par tenant (isolation maximale mais coût élevé), un partitionnement logique au sein de la même infrastructure (compromis entre isolation et efficience), et un filtrage par métadonnées (léger mais risqué en termes de fuites de données). Le guide souligne que « les données de chaque tenant sont encapsulées dans son propre magasin » dans l'approche par isolation complète, éliminant le problème de « voisin bruyant » (*noisy neighbor*) au niveau des performances (Microsoft, 2024).</w:t>
      </w:r>
    </w:p>
    <w:p>
      <w:r>
        <w:t>AWS (2024) propose une implémentation concrète du RAG multi-tenant avec Amazon Bedrock Knowledge Bases, démontrant comment la personnalisation peut être réalisée en « implémentant une approche RAG qui utilise sélectivement les données spécifiques au tenant ». Cette architecture permet à chaque espace de travail de disposer de ses propres sources, configurations de retrieval et prompts adaptés à son contexte métier. Dans le contexte des bases vectorielles, Milvus (2024) détaille les bonnes pratiques de conception multi-tenant, où « chaque tenant opère dans un environnement complètement isolé, garantissant qu'aucune donnée du tenant A ne fuit dans le système du tenant B ».</w:t>
      </w:r>
    </w:p>
    <w:p>
      <w:r>
        <w:t>Tiger Data (2025) analyse spécifiquement l'utilisation de PostgreSQL pour les applications RAG multi-tenants, en soulignant quatre avantages structurels : la recherche full-text native, le support JSON pour le stockage flexible de documents et métadonnées, les extensions vectorielles (pgvector) pour la recherche par similarité, et le Row Level Security (RLS) pour un contrôle d'accès fin au niveau des lignes. Le RLS de PostgreSQL offre une approche particulièrement élégante pour les systèmes RAG multi-tenants : les politiques de sécurité sont appliquées de manière transparente au niveau de la base de données, garantissant que les requêtes vectorielles d'un espace de travail ne retournent jamais de résultats issus d'un autre espace, sans surcharge de logique applicative (AWS, 2022 ; Tiger Data, 2025).</w:t>
      </w:r>
    </w:p>
    <w:p>
      <w:r>
        <w:t>Cette architecture de « workspaces » autonomes — chacun doté de ses propres sources, de son propre index vectoriel filtré et de ses propres paramètres de génération — représente une évolution significative par rapport aux systèmes RAG monolithiques décrits dans la littérature initiale (Lewis et al., 2020). Néanmoins, il convient de noter un gap dans la littérature académique : la plupart des travaux sur le multi-tenancy RAG proviennent de documentations techniques de fournisseurs cloud (AWS, Microsoft, Milvus) plutôt que d'articles évalués par les pairs, ce qui appelle une validation empirique plus rigoureuse de ces architectures.</w:t>
      </w:r>
    </w:p>
    <w:p>
      <w:r>
        <w:t>---</w:t>
      </w:r>
    </w:p>
    <w:p>
      <w:pPr>
        <w:pStyle w:val="Heading2"/>
      </w:pPr>
      <w:r>
        <w:t>Axe 5 — Génération automatique de newsletters et curation IA</w:t>
      </w:r>
    </w:p>
    <w:p>
      <w:pPr>
        <w:pStyle w:val="Heading3"/>
      </w:pPr>
      <w:r>
        <w:t>Position d'insertion : nouvelle sous-section 4.4 « Pipelines de curation automatique et dissémination sélective d'information »</w:t>
      </w:r>
    </w:p>
    <w:p>
      <w:r>
        <w:t>La génération automatisée de newsletters de veille représente un cas d'application concret des capacités de synthèse des LLMs dans un pipeline end-to-end. Contrairement à la génération de synthèses ad hoc en réponse à une requête utilisateur, la newsletter automatisée implique une chaîne de traitement complète : collecte périodique des sources, scoring de pertinence, sélection et regroupement thématique des articles, génération de résumés contextualisés, mise en forme éditoriale et distribution. Ce pipeline s'apparente à ce que la littérature en sciences de l'information appelle un système de *dissémination sélective d'information* (SDI — *Selective Dissemination of Information*), concept formalisé par Luhn dès 1961 dans *American Documentation*. Luhn y décrivait un système automatisé de mise en correspondance entre des profils d'intérêt individuels et de nouvelles informations scientifiques, utilisant des équipements de traitement électronique — une vision pionnière dont l'automatisation complète n'est rendue possible que par les avancées récentes en IA générative.</w:t>
      </w:r>
    </w:p>
    <w:p>
      <w:r>
        <w:t>Zhang et al. (2024), dans une survey complète sur la synthèse automatique de texte, analysent l'impact transformateur des LLMs sur ce champ, démontrant que les résumés générés par les LLMs « correspondent en qualité aux résumés rédigés par des humains en termes de diversité de paraphrase » et présentent un haut degré de fidélité factuelle lorsqu'ils sont guidés par des descriptions de tâches simples. Ces avancées rendent viable la construction de pipelines de curation entièrement automatiques opérant sur des centaines de sources hétérogènes — flux RSS, sites d'actualités, rapports d'analystes, communiqués de presse.</w:t>
      </w:r>
    </w:p>
    <w:p>
      <w:r>
        <w:t>La dimension éditoriale de la newsletter automatisée pose cependant des défis spécifiques par rapport à la simple synthèse. Le système doit non seulement résumer les articles individuellement, mais également les organiser en sections thématiques cohérentes, identifier les informations « incontournables » (*unmissables*) de la période, et contextualiser chaque développement par rapport aux enjeux stratégiques de l'organisation destinataire. Le rapport McKinsey *The State of AI* (2025) identifie l'IA agentique comme l'une des cinq grandes innovations transformatrices pour les entreprises, et note que 65 % des organisations utilisent désormais régulièrement l'IA générative — un doublement par rapport à l'année précédente — mais que 74 % peinent encore à passer à l'échelle. Ce processus de hiérarchisation automatique de l'information — de la collecte brute à la publication éditoriale — constitue un apport significatif par rapport aux tableaux de bord de veille traditionnels, dans la mesure où il produit un livrable directement consommable par les décideurs sans intervention humaine systématique, tout en préservant la possibilité d'une validation éditoriale humaine avant publication.</w:t>
      </w:r>
    </w:p>
    <w:p>
      <w:r>
        <w:t>Il convient toutefois de signaler un gap notable dans la littérature : les travaux académiques spécifiquement consacrés à la génération automatique de newsletters par LLM restent rares. La majorité des retours d'expérience proviennent de la littérature grise (blogs techniques, études de cas de praticiens) plutôt que d'articles évalués par les pairs, ce qui constitue une limite de cette section de la revue.</w:t>
      </w:r>
    </w:p>
    <w:p>
      <w:r>
        <w:t>---</w:t>
      </w:r>
    </w:p>
    <w:p>
      <w:pPr>
        <w:pStyle w:val="Heading2"/>
      </w:pPr>
      <w:r>
        <w:t>Nouvelles références bibliographiques</w:t>
      </w:r>
    </w:p>
    <w:p>
      <w:pPr>
        <w:pStyle w:val="ListBullet"/>
      </w:pPr>
      <w:r>
        <w:t>Allam, M., Parekh, J. et al. (2024). Dynamic Multi-Agent Orchestration and Retrieval for Multi-Source Question-Answer Systems using Large Language Models. *arXiv preprint* arXiv:2412.17964.</w:t>
      </w:r>
    </w:p>
    <w:p>
      <w:pPr>
        <w:pStyle w:val="ListBullet"/>
      </w:pPr>
      <w:r>
        <w:t>AWS (2022). Multi-tenant data isolation with PostgreSQL Row Level Security. *Amazon Web Services Database Blog*.</w:t>
      </w:r>
    </w:p>
    <w:p>
      <w:pPr>
        <w:pStyle w:val="ListBullet"/>
      </w:pPr>
      <w:r>
        <w:t>AWS (2024). Multi-tenant RAG with Amazon Bedrock Knowledge Bases. *Amazon Web Services Machine Learning Blog*.</w:t>
      </w:r>
    </w:p>
    <w:p>
      <w:pPr>
        <w:pStyle w:val="ListBullet"/>
      </w:pPr>
      <w:r>
        <w:t>Ebadi, A., Auger, A. et Gauthier, Y. (2024). WISDOM: An AI-powered framework for emerging research detection using weak signal analysis and advanced topic modeling. *arXiv preprint* arXiv:2409.15340. Publié dans *Journal of Informetrics*, 20(1), 2026.</w:t>
      </w:r>
    </w:p>
    <w:p>
      <w:pPr>
        <w:pStyle w:val="ListBullet"/>
      </w:pPr>
      <w:r>
        <w:t>Gu, J., Jiang, X., Shi, Z. et al. (2024). A Survey on LLM-as-a-Judge. *arXiv preprint* arXiv:2411.15594.</w:t>
      </w:r>
    </w:p>
    <w:p>
      <w:pPr>
        <w:pStyle w:val="ListBullet"/>
      </w:pPr>
      <w:r>
        <w:t>Ha, T., Yang, H. et Hong, S. (2023). Automated weak signal detection and prediction using keyword network clustering and graph convolutional network. *Futures*, 151, 103189.</w:t>
      </w:r>
    </w:p>
    <w:p>
      <w:pPr>
        <w:pStyle w:val="ListBullet"/>
      </w:pPr>
      <w:r>
        <w:t>LangChain (2024). LangGraph: Agent Orchestration Framework for Reliable AI Agents. Documentation technique.</w:t>
      </w:r>
    </w:p>
    <w:p>
      <w:pPr>
        <w:pStyle w:val="ListBullet"/>
      </w:pPr>
      <w:r>
        <w:t>Li, H. et al. (2024). LLMs-as-Judges: A Comprehensive Survey on LLM-based Evaluation Methods. *arXiv preprint* arXiv:2412.05579.</w:t>
      </w:r>
    </w:p>
    <w:p>
      <w:pPr>
        <w:pStyle w:val="ListBullet"/>
      </w:pPr>
      <w:r>
        <w:t>Luhn, H. P. (1961). Selective Dissemination of New Scientific Information with the Aid of Electronic Processing Equipment. *American Documentation*, 12(2), 131–138.</w:t>
      </w:r>
    </w:p>
    <w:p>
      <w:pPr>
        <w:pStyle w:val="ListBullet"/>
      </w:pPr>
      <w:r>
        <w:t>McKinsey (2025a). The State of AI: How Organizations Are Rewiring to Capture Value. *McKinsey Global Survey*.</w:t>
      </w:r>
    </w:p>
    <w:p>
      <w:pPr>
        <w:pStyle w:val="ListBullet"/>
      </w:pPr>
      <w:r>
        <w:t>McKinsey (2025b). Accelerating Europe's AI adoption: The role of sovereign AI capabilities. *McKinsey Technology Report*.</w:t>
      </w:r>
    </w:p>
    <w:p>
      <w:pPr>
        <w:pStyle w:val="ListBullet"/>
      </w:pPr>
      <w:r>
        <w:t>Microsoft (2024). Design a Secure Multitenant RAG Inferencing Solution. *Azure Architecture Center*.</w:t>
      </w:r>
    </w:p>
    <w:p>
      <w:pPr>
        <w:pStyle w:val="ListBullet"/>
      </w:pPr>
      <w:r>
        <w:t>Milvus (2024). Designing Multi-Tenancy RAG with Milvus: Best Practices for Scalable Enterprise Knowledge Bases. *Milvus Engineering Blog*.</w:t>
      </w:r>
    </w:p>
    <w:p>
      <w:pPr>
        <w:pStyle w:val="ListBullet"/>
      </w:pPr>
      <w:r>
        <w:t>Nanni, R., Bizzaro, P. G. et Napolitano, M. (2024). The false promise of individual digital sovereignty in Europe: Comparing artificial intelligence and data regulations in China and the European Union. *Policy &amp; Internet*, 16(4).</w:t>
      </w:r>
    </w:p>
    <w:p>
      <w:pPr>
        <w:pStyle w:val="ListBullet"/>
      </w:pPr>
      <w:r>
        <w:t>Nguyen, T. et al. (2025). MA-RAG: Multi-Agent Retrieval-Augmented Generation via Collaborative Chain-of-Thought Reasoning. *arXiv preprint* arXiv:2505.20096.</w:t>
      </w:r>
    </w:p>
    <w:p>
      <w:pPr>
        <w:pStyle w:val="ListBullet"/>
      </w:pPr>
      <w:r>
        <w:t>Singh, A. et Ehtesham, A. (2025). Agentic Retrieval-Augmented Generation: A Survey on Agentic RAG. *arXiv preprint* arXiv:2501.09136.</w:t>
      </w:r>
    </w:p>
    <w:p>
      <w:pPr>
        <w:pStyle w:val="ListBullet"/>
      </w:pPr>
      <w:r>
        <w:t>Tiger Data (2025). Building Multi-Tenant RAG Applications with PostgreSQL: Choosing the Right Approach. *Tiger Data Engineering Blog*.</w:t>
      </w:r>
    </w:p>
    <w:p>
      <w:pPr>
        <w:pStyle w:val="ListBullet"/>
      </w:pPr>
      <w:r>
        <w:t>Tran, K.-T., Dao, D., Nguyen, M.-D. et al. (2025). Multi-Agent Collaboration Mechanisms: A Survey of LLMs. *arXiv preprint* arXiv:2501.06322.</w:t>
      </w:r>
    </w:p>
    <w:p>
      <w:pPr>
        <w:pStyle w:val="ListBullet"/>
      </w:pPr>
      <w:r>
        <w:t>Zhang, Y. et al. (2024). A Comprehensive Survey on Process-Oriented Automatic Text Summarization with Exploration of LLM-Based Methods. *arXiv preprint* arXiv:2403.02901.</w:t>
      </w:r>
    </w:p>
    <w:p>
      <w:r>
        <w:t>---</w:t>
      </w:r>
    </w:p>
    <w:p>
      <w:pPr>
        <w:pStyle w:val="Heading2"/>
      </w:pPr>
      <w:r>
        <w:t>Sources consultées</w:t>
      </w:r>
    </w:p>
    <w:p>
      <w:r>
        <w:t>| URL | Résumé |</w:t>
      </w:r>
    </w:p>
    <w:p>
      <w:r>
        <w:t>|-----|--------|</w:t>
      </w:r>
    </w:p>
    <w:p>
      <w:r>
        <w:t>| https://arxiv.org/abs/2501.09136 | Survey complète sur le Agentic RAG par Singh &amp; Ehtesham (2025) |</w:t>
      </w:r>
    </w:p>
    <w:p>
      <w:r>
        <w:t>| https://arxiv.org/abs/2505.20096 | MA-RAG : framework multi-agents collaboratif pour le RAG (Nguyen et al., 2025) |</w:t>
      </w:r>
    </w:p>
    <w:p>
      <w:r>
        <w:t>| https://arxiv.org/abs/2412.17964 | Orchestration multi-agents dynamique pour QA multi-sources (Allam et al., 2024) |</w:t>
      </w:r>
    </w:p>
    <w:p>
      <w:r>
        <w:t>| https://arxiv.org/abs/2501.06322 | Survey sur les mécanismes de collaboration multi-agents LLM (Tran et al., 2025) |</w:t>
      </w:r>
    </w:p>
    <w:p>
      <w:r>
        <w:t>| https://arxiv.org/abs/2411.15594 | Survey LLM-as-a-Judge (Gu et al., 2024) |</w:t>
      </w:r>
    </w:p>
    <w:p>
      <w:r>
        <w:t>| https://arxiv.org/abs/2412.05579 | Survey LLMs-as-Judges : méthodes d'évaluation (Li et al., 2024) |</w:t>
      </w:r>
    </w:p>
    <w:p>
      <w:r>
        <w:t>| https://arxiv.org/abs/2409.15340 | WISDOM : détection de signaux faibles par IA (Ebadi et al., 2024) |</w:t>
      </w:r>
    </w:p>
    <w:p>
      <w:r>
        <w:t>| https://www.sciencedirect.com/science/article/pii/S0016328723001064 | Détection automatisée de signaux faibles par GCN (Ha et al., 2023) |</w:t>
      </w:r>
    </w:p>
    <w:p>
      <w:r>
        <w:t>| https://onlinelibrary.wiley.com/doi/full/10.1002/poi3.424 | Souveraineté numérique en Europe (Nanni et al., 2024) |</w:t>
      </w:r>
    </w:p>
    <w:p>
      <w:r>
        <w:t>| https://www.mckinsey.com/capabilities/quantumblack/our-insights/the-state-of-ai | McKinsey State of AI 2025 |</w:t>
      </w:r>
    </w:p>
    <w:p>
      <w:r>
        <w:t>| https://www.mckinsey.com/.../accelerating-europes-ai-adoption-the-role-of-sovereign-ai | McKinsey souveraineté IA Europe 2025 |</w:t>
      </w:r>
    </w:p>
    <w:p>
      <w:r>
        <w:t>| https://learn.microsoft.com/en-us/azure/architecture/ai-ml/guide/secure-multitenant-rag | Guide Azure RAG multi-tenant (Microsoft, 2024) |</w:t>
      </w:r>
    </w:p>
    <w:p>
      <w:r>
        <w:t>| https://aws.amazon.com/blogs/machine-learning/multi-tenant-rag-with-amazon-bedrock-knowledge-bases/ | RAG multi-tenant AWS Bedrock (2024) |</w:t>
      </w:r>
    </w:p>
    <w:p>
      <w:r>
        <w:t>| https://milvus.io/blog/build-multi-tenancy-rag-with-milvus-best-practices-part-one.md | Multi-tenancy RAG avec Milvus (2024) |</w:t>
      </w:r>
    </w:p>
    <w:p>
      <w:r>
        <w:t>| https://www.tigerdata.com/blog/building-multi-tenant-rag-applications-with-postgresql-choosing-the-right-approach | RAG multi-tenant PostgreSQL (Tiger Data, 2025) |</w:t>
      </w:r>
    </w:p>
    <w:p>
      <w:r>
        <w:t>| https://www.tigerdata.com/blog/pgvector-vs-qdrant | Benchmark pgvector vs Qdrant (Tiger Data, 2025) |</w:t>
      </w:r>
    </w:p>
    <w:p>
      <w:r>
        <w:t>| https://www.firecrawl.dev/blog/best-vector-databases | Comparatif bases vectorielles 2026 avec benchmarks pgvectorscale |</w:t>
      </w:r>
    </w:p>
    <w:p>
      <w:r>
        <w:t>| https://aws.amazon.com/blogs/database/multi-tenant-data-isolation-with-postgresql-row-level-security/ | RLS PostgreSQL multi-tenant (AWS, 2022) |</w:t>
      </w:r>
    </w:p>
    <w:p>
      <w:r>
        <w:t>| https://arxiv.org/abs/2403.02901 | Survey synthèse automatique de texte + LLMs (Zhang et al., 2024) |</w:t>
      </w:r>
    </w:p>
    <w:p>
      <w:r>
        <w:t>| https://dl.acm.org/doi/10.1145/1461551.1461584 | SDI originale de Luhn (1961/1963) |</w:t>
      </w:r>
    </w:p>
    <w:p>
      <w:r>
        <w:t>| https://www.langchain.com/langgraph | Documentation LangGraph (LangChain, 2024) |</w:t>
      </w:r>
    </w:p>
    <w:p>
      <w:r>
        <w:t>| https://www.atlanticcouncil.org/.../digital-sovereignty-europes-declaration-of-independence/ | Atlantic Council : souveraineté numérique européenne (2026)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