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REVUE DE LITTÉRATURE</w:t>
      </w:r>
    </w:p>
    <w:p>
      <w:pPr>
        <w:jc w:val="center"/>
      </w:pPr>
      <w:r>
        <w:rPr>
          <w:i/>
          <w:sz w:val="28"/>
        </w:rPr>
        <w:br/>
        <w:t>Comment l'intelligence artificielle peut-elle transformer</w:t>
        <w:br/>
        <w:t>les processus de veille concurrentielle</w:t>
        <w:br/>
        <w:t>dans les entreprises de télécommunications ?</w:t>
      </w:r>
    </w:p>
    <w:p/>
    <w:p/>
    <w:p/>
    <w:p/>
    <w:p>
      <w:pPr>
        <w:jc w:val="center"/>
      </w:pPr>
      <w:r>
        <w:rPr>
          <w:b/>
        </w:rPr>
        <w:t>Yoann ABRIEL</w:t>
        <w:br/>
      </w:r>
      <w:r>
        <w:t>Master 2 — Epitech Digital</w:t>
        <w:br/>
      </w:r>
      <w:r>
        <w:t>Spécialisation Data Science &amp; Business Intelligence</w:t>
        <w:br/>
      </w:r>
      <w:r>
        <w:t>2025-2026</w:t>
      </w:r>
    </w:p>
    <w:p>
      <w:r>
        <w:br w:type="page"/>
      </w:r>
    </w:p>
    <w:p>
      <w:pPr>
        <w:pStyle w:val="Heading1"/>
      </w:pPr>
      <w:r>
        <w:t>Table des matières</w:t>
      </w:r>
    </w:p>
    <w:p>
      <w:pPr>
        <w:spacing w:after="40" w:before="0"/>
      </w:pPr>
      <w:r>
        <w:t>Introduction</w:t>
      </w:r>
    </w:p>
    <w:p>
      <w:pPr>
        <w:spacing w:after="40" w:before="0"/>
      </w:pPr>
      <w:r>
        <w:t>1. La veille concurrentielle : fondements théoriques et évolutions</w:t>
      </w:r>
    </w:p>
    <w:p>
      <w:pPr>
        <w:spacing w:after="40" w:before="0"/>
      </w:pPr>
      <w:r>
        <w:t xml:space="preserve">   1.1. Définitions et cadre conceptuel</w:t>
      </w:r>
    </w:p>
    <w:p>
      <w:pPr>
        <w:spacing w:after="40" w:before="0"/>
      </w:pPr>
      <w:r>
        <w:t xml:space="preserve">   1.2. Le cycle du renseignement concurrentiel</w:t>
      </w:r>
    </w:p>
    <w:p>
      <w:pPr>
        <w:spacing w:after="40" w:before="0"/>
      </w:pPr>
      <w:r>
        <w:t xml:space="preserve">   1.3. De la veille manuelle à la veille numérique</w:t>
      </w:r>
    </w:p>
    <w:p>
      <w:pPr>
        <w:spacing w:after="40" w:before="0"/>
      </w:pPr>
      <w:r>
        <w:t xml:space="preserve">   1.4. Enjeux spécifiques dans le secteur des télécommunications</w:t>
      </w:r>
    </w:p>
    <w:p>
      <w:pPr>
        <w:spacing w:after="40" w:before="0"/>
      </w:pPr>
      <w:r>
        <w:t>2. L'intelligence artificielle appliquée à la Business Intelligence</w:t>
      </w:r>
    </w:p>
    <w:p>
      <w:pPr>
        <w:spacing w:after="40" w:before="0"/>
      </w:pPr>
      <w:r>
        <w:t xml:space="preserve">   2.1. Le traitement automatique du langage naturel et le text mining</w:t>
      </w:r>
    </w:p>
    <w:p>
      <w:pPr>
        <w:spacing w:after="40" w:before="0"/>
      </w:pPr>
      <w:r>
        <w:t xml:space="preserve">   2.2. L'apprentissage automatique pour la détection de tendances</w:t>
      </w:r>
    </w:p>
    <w:p>
      <w:pPr>
        <w:spacing w:after="40" w:before="0"/>
      </w:pPr>
      <w:r>
        <w:t xml:space="preserve">   2.3. Le web scraping intelligent et la collecte automatisée</w:t>
      </w:r>
    </w:p>
    <w:p>
      <w:pPr>
        <w:spacing w:after="40" w:before="0"/>
      </w:pPr>
      <w:r>
        <w:t>3. Les architectures RAG (Retrieval-Augmented Generation)</w:t>
      </w:r>
    </w:p>
    <w:p>
      <w:pPr>
        <w:spacing w:after="40" w:before="0"/>
      </w:pPr>
      <w:r>
        <w:t xml:space="preserve">   3.1. Principes fondamentaux et fonctionnement</w:t>
      </w:r>
    </w:p>
    <w:p>
      <w:pPr>
        <w:spacing w:after="40" w:before="0"/>
      </w:pPr>
      <w:r>
        <w:t xml:space="preserve">   3.2. Applications en contexte entreprise</w:t>
      </w:r>
    </w:p>
    <w:p>
      <w:pPr>
        <w:spacing w:after="40" w:before="0"/>
      </w:pPr>
      <w:r>
        <w:t xml:space="preserve">   3.3. RAG versus fine-tuning : avantages comparatifs pour la veille</w:t>
      </w:r>
    </w:p>
    <w:p>
      <w:pPr>
        <w:spacing w:after="40" w:before="0"/>
      </w:pPr>
      <w:r>
        <w:t>4. Les grands modèles de langage et chatbots pour la gestion des connaissances</w:t>
      </w:r>
    </w:p>
    <w:p>
      <w:pPr>
        <w:spacing w:after="40" w:before="0"/>
      </w:pPr>
      <w:r>
        <w:t xml:space="preserve">   4.1. État de l'art des LLMs</w:t>
      </w:r>
    </w:p>
    <w:p>
      <w:pPr>
        <w:spacing w:after="40" w:before="0"/>
      </w:pPr>
      <w:r>
        <w:t xml:space="preserve">   4.2. Chatbots conversationnels en entreprise</w:t>
      </w:r>
    </w:p>
    <w:p>
      <w:pPr>
        <w:spacing w:after="40" w:before="0"/>
      </w:pPr>
      <w:r>
        <w:t xml:space="preserve">   4.3. Génération automatique de synthèses et rapports</w:t>
      </w:r>
    </w:p>
    <w:p>
      <w:pPr>
        <w:spacing w:after="40" w:before="0"/>
      </w:pPr>
      <w:r>
        <w:t>5. Cadre éthique, limites et perspectives</w:t>
      </w:r>
    </w:p>
    <w:p>
      <w:pPr>
        <w:spacing w:after="40" w:before="0"/>
      </w:pPr>
      <w:r>
        <w:t xml:space="preserve">   5.1. Biais algorithmiques et équité</w:t>
      </w:r>
    </w:p>
    <w:p>
      <w:pPr>
        <w:spacing w:after="40" w:before="0"/>
      </w:pPr>
      <w:r>
        <w:t xml:space="preserve">   5.2. RGPD, AI Act et protection des données personnelles</w:t>
      </w:r>
    </w:p>
    <w:p>
      <w:pPr>
        <w:spacing w:after="40" w:before="0"/>
      </w:pPr>
      <w:r>
        <w:t xml:space="preserve">   5.3. Hallucinations et fiabilité des LLMs</w:t>
      </w:r>
    </w:p>
    <w:p>
      <w:pPr>
        <w:spacing w:after="40" w:before="0"/>
      </w:pPr>
      <w:r>
        <w:t xml:space="preserve">   5.4. La complémentarité humain-IA</w:t>
      </w:r>
    </w:p>
    <w:p>
      <w:pPr>
        <w:spacing w:after="40" w:before="0"/>
      </w:pPr>
      <w:r>
        <w:t>Conclusion</w:t>
      </w:r>
    </w:p>
    <w:p>
      <w:pPr>
        <w:spacing w:after="40" w:before="0"/>
      </w:pPr>
      <w:r>
        <w:t>Références bibliographiques</w:t>
      </w:r>
    </w:p>
    <w:p>
      <w:r>
        <w:br w:type="page"/>
      </w:r>
    </w:p>
    <w:p>
      <w:pPr>
        <w:pStyle w:val="Heading1"/>
      </w:pPr>
      <w:r>
        <w:t>Introduction</w:t>
      </w:r>
    </w:p>
    <w:p>
      <w:pPr>
        <w:ind w:firstLine="432"/>
      </w:pPr>
      <w:r>
        <w:rPr>
          <w:b w:val="0"/>
          <w:i w:val="0"/>
        </w:rPr>
        <w:t>Dans un environnement économique marqué par une concurrence accrue et une accélération sans précédent des cycles d'innovation, la capacité des entreprises à surveiller, analyser et anticiper les mouvements de leurs concurrents est devenue un facteur déterminant de leur pérennité. Le secteur des télécommunications, caractérisé par une convergence technologique rapide, des investissements massifs en infrastructures et une régulation en constante évolution, illustre de manière exemplaire cette réalité. Les opérateurs tels qu'Orange, Deutsche Telekom ou Vodafone doivent non seulement surveiller les stratégies commerciales de leurs concurrents directs, mais aussi anticiper les disruptions provenant d'acteurs issus du numérique — les « over-the-top » (OTT) comme Google, Amazon ou Netflix — qui redéfinissent les contours de l'industrie.</w:t>
      </w:r>
    </w:p>
    <w:p>
      <w:pPr>
        <w:ind w:firstLine="432"/>
      </w:pPr>
      <w:r>
        <w:rPr>
          <w:b w:val="0"/>
          <w:i w:val="0"/>
        </w:rPr>
        <w:t>Parallèlement, l'émergence de l'intelligence artificielle (IA), et plus particulièrement des grands modèles de langage (Large Language Models, LLMs), ouvre des perspectives inédites pour transformer les processus de veille concurrentielle. L'IA permet désormais d'automatiser la collecte de données massives, d'extraire des informations pertinentes de sources hétérogènes et non structurées, et de produire des synthèses analytiques à une vitesse et une échelle inaccessibles aux méthodes traditionnelles. Selon le rapport McKinsey « The State of AI in 2025 », trente-neuf pour cent des entreprises interrogées attribuent déjà un impact mesurable de l'IA sur leur résultat opérationnel (McKinsey, 2025). Gartner prévoit quant à lui que les dépenses mondiales en services d'IA atteindront 478 milliards de dollars d'ici 2028 (Gartner, 2024).</w:t>
      </w:r>
    </w:p>
    <w:p>
      <w:pPr>
        <w:ind w:firstLine="432"/>
      </w:pPr>
      <w:r>
        <w:rPr>
          <w:b w:val="0"/>
          <w:i w:val="0"/>
        </w:rPr>
        <w:t>La présente revue de littérature s'inscrit dans le cadre d'un mémoire de Master 2 dont la problématique est la suivante : « Comment l'intelligence artificielle peut-elle transformer les processus de veille concurrentielle dans les entreprises de télécommunications ? ». Le cas d'application porte sur le développement d'un MVP de veille automatisée pour Orange Business, combinant un chatbot fondé sur l'architecture RAG (Retrieval-Augmented Generation) et la génération de synthèses hebdomadaires. Cette revue vise à établir un état de l'art rigoureux en mobilisant cinq axes thématiques : les fondements théoriques de la veille concurrentielle, l'apport de l'IA à la Business Intelligence, les architectures RAG, les LLMs appliqués à la gestion des connaissances, et enfin le cadre éthique et les limites de ces technologies.</w:t>
      </w:r>
    </w:p>
    <w:p>
      <w:r>
        <w:br w:type="page"/>
      </w:r>
    </w:p>
    <w:p>
      <w:pPr>
        <w:pStyle w:val="Heading1"/>
      </w:pPr>
      <w:r>
        <w:t>1. La veille concurrentielle : fondements théoriques et évolutions</w:t>
      </w:r>
    </w:p>
    <w:p>
      <w:pPr>
        <w:pStyle w:val="Heading2"/>
      </w:pPr>
      <w:r>
        <w:t>1.1. Définitions et cadre conceptuel</w:t>
      </w:r>
    </w:p>
    <w:p>
      <w:pPr>
        <w:ind w:firstLine="432"/>
      </w:pPr>
      <w:r>
        <w:rPr>
          <w:b w:val="0"/>
          <w:i w:val="0"/>
        </w:rPr>
        <w:t>La veille concurrentielle, ou competitive intelligence (CI) dans la littérature anglo-saxonne, désigne l'ensemble des activités systématiques de collecte, d'analyse et de diffusion d'informations relatives à l'environnement concurrentiel d'une organisation, dans le but d'éclairer la prise de décision stratégique. La Society of Competitive Intelligence Professionals (SCIP), fondée en 1986 et devenue l'une des principales associations professionnelles du domaine, définit la CI comme « la collecte et l'analyse légales d'informations concernant les capacités, les vulnérabilités et les intentions des concurrents, menées à partir de bases de données et de sources ouvertes selon des pratiques éthiques » (SCIP, 2000). Cette définition met en lumière deux dimensions essentielles : le caractère légal et éthique de la démarche, qui distingue la veille concurrentielle de l'espionnage industriel, et sa finalité décisionnelle.</w:t>
      </w:r>
    </w:p>
    <w:p>
      <w:pPr>
        <w:ind w:firstLine="432"/>
      </w:pPr>
      <w:r>
        <w:rPr>
          <w:b w:val="0"/>
          <w:i w:val="0"/>
        </w:rPr>
        <w:t>Michael Porter, dans son ouvrage fondateur « Competitive Advantage » (Porter, 1985), a posé les bases conceptuelles de l'analyse concurrentielle en proposant le modèle des cinq forces qui structurent la dynamique d'un secteur : la rivalité entre concurrents existants, la menace de nouveaux entrants, le pouvoir de négociation des fournisseurs et des clients, et la menace des produits de substitution. Ce modèle demeure un cadre analytique de référence pour la veille concurrentielle, car il permet de structurer la collecte d'informations autour de dimensions stratégiques bien identifiées. Porter a ultérieurement affiné son approche en insistant sur l'importance de comprendre non seulement la position actuelle des concurrents, mais aussi leurs intentions et leurs capacités futures (Porter, 2008).</w:t>
      </w:r>
    </w:p>
    <w:p>
      <w:pPr>
        <w:ind w:firstLine="432"/>
      </w:pPr>
      <w:r>
        <w:rPr>
          <w:b w:val="0"/>
          <w:i w:val="0"/>
        </w:rPr>
        <w:t>Le concept d'intelligence économique, plus large que celui de veille concurrentielle, a été formalisé en France notamment par le rapport Martre (1994), qui le définit comme « l'ensemble des actions coordonnées de recherche, de traitement et de distribution, en vue de son exploitation, de l'information utile aux acteurs économiques ». Ce rapport a posé les fondements d'une politique publique d'intelligence économique en France, distinguant trois volets complémentaires : la veille (collecte et analyse), la protection du patrimoine informationnel, et l'influence (Martre, 1994). Cette tripartition reste pertinente pour comprendre le positionnement de la veille concurrentielle au sein d'un dispositif plus global d'intelligence stratégique.</w:t>
      </w:r>
    </w:p>
    <w:p>
      <w:pPr>
        <w:pStyle w:val="Heading2"/>
      </w:pPr>
      <w:r>
        <w:t>1.2. Le cycle du renseignement concurrentiel</w:t>
      </w:r>
    </w:p>
    <w:p>
      <w:pPr>
        <w:ind w:firstLine="432"/>
      </w:pPr>
      <w:r>
        <w:rPr>
          <w:b w:val="0"/>
          <w:i w:val="0"/>
        </w:rPr>
        <w:t>La majorité des chercheurs conceptualisent le processus de veille concurrentielle comme un cycle itératif composé de phases interdépendantes (Pellissier et Nenzhelele, 2013). Ce modèle, largement inspiré du cycle du renseignement utilisé par les agences de sécurité nationale, notamment la CIA, comprend généralement quatre à six étapes : la planification et l'orientation des besoins, la collecte des données, le traitement et l'analyse, et enfin la diffusion des résultats aux décideurs. Pellissier et Nenzhelele (2013), dans leur tentative de proposer un modèle universel du processus de CI, ont montré que malgré des variations terminologiques, la structure cyclique du processus fait consensus dans la littérature académique.</w:t>
      </w:r>
    </w:p>
    <w:p>
      <w:pPr>
        <w:ind w:firstLine="432"/>
      </w:pPr>
      <w:r>
        <w:rPr>
          <w:b w:val="0"/>
          <w:i w:val="0"/>
        </w:rPr>
        <w:t>Le modèle PCMAC (Plan, Capture, Manage, Analyse, Communicate), décrit dans la littérature spécialisée et repris par plusieurs auteurs sur la plateforme ScienceDirect, insiste sur l'importance cruciale de la première phase — la planification et la priorisation — pour le succès global de l'activité de veille. En effet, sans une définition précise des besoins informationnels et des questions stratégiques à résoudre, le risque est de collecter un volume considérable de données sans parvenir à en extraire des insights actionnables. Cette phase d'orientation, souvent négligée dans les organisations, conditionne la pertinence de l'ensemble du cycle (Trim et Lee, 2008). Rouach et Santi (2001) soulignent également que la veille concurrentielle ne se limite pas à la surveillance réactive des concurrents, mais doit s'inscrire dans une démarche proactive d'anticipation des ruptures stratégiques.</w:t>
      </w:r>
    </w:p>
    <w:p>
      <w:pPr>
        <w:pStyle w:val="Heading2"/>
      </w:pPr>
      <w:r>
        <w:t>1.3. De la veille manuelle à la veille numérique</w:t>
      </w:r>
    </w:p>
    <w:p>
      <w:pPr>
        <w:ind w:firstLine="432"/>
      </w:pPr>
      <w:r>
        <w:rPr>
          <w:b w:val="0"/>
          <w:i w:val="0"/>
        </w:rPr>
        <w:t>L'histoire de la veille concurrentielle révèle une transformation profonde des méthodes et des outils mobilisés. Dans les années 1980 et 1990, la veille reposait principalement sur des sources documentaires traditionnelles — presse spécialisée, rapports annuels, brevets, études de marché — et sur des réseaux humains de collecte informelle (salons professionnels, contacts sectoriels). Le rapport du CIGREF de 1998 sur la veille stratégique témoigne de cette époque où l'enjeu principal résidait dans l'accès à l'information plutôt que dans sa surabondance (CIGREF, 1998).</w:t>
      </w:r>
    </w:p>
    <w:p>
      <w:pPr>
        <w:ind w:firstLine="432"/>
      </w:pPr>
      <w:r>
        <w:rPr>
          <w:b w:val="0"/>
          <w:i w:val="0"/>
        </w:rPr>
        <w:t>L'avènement d'Internet et la prolifération des sources numériques ont radicalement modifié la donne. La veille concurrentielle dispose désormais d'un volume colossal de données accessibles en temps réel : sites web des concurrents, réseaux sociaux, flux RSS, forums spécialisés, bases de données de brevets en ligne, communiqués de presse. Cette abondance informationnelle, si elle constitue une opportunité considérable, pose également le défi de la surcharge informationnelle (information overload) et de la nécessité de disposer d'outils capables de filtrer, trier et hiérarchiser les données pertinentes. C'est précisément dans ce contexte que les technologies d'intelligence artificielle trouvent leur pertinence, en permettant d'automatiser des tâches jusqu'alors manuelles et chronophages.</w:t>
      </w:r>
    </w:p>
    <w:p>
      <w:pPr>
        <w:pStyle w:val="Heading2"/>
      </w:pPr>
      <w:r>
        <w:t>1.4. Enjeux spécifiques dans le secteur des télécommunications</w:t>
      </w:r>
    </w:p>
    <w:p>
      <w:pPr>
        <w:ind w:firstLine="432"/>
      </w:pPr>
      <w:r>
        <w:rPr>
          <w:b w:val="0"/>
          <w:i w:val="0"/>
        </w:rPr>
        <w:t>Le secteur des télécommunications présente des caractéristiques qui rendent la veille concurrentielle à la fois critique et particulièrement complexe. En premier lieu, l'intensité concurrentielle y est élevée, avec un nombre limité d'acteurs majeurs par marché national qui se disputent des parts de marché dans un contexte de saturation des abonnements mobiles dans les pays développés. La convergence entre télécommunications, médias et technologies de l'information brouille les frontières sectorielles traditionnelles et multiplie le nombre d'acteurs à surveiller.</w:t>
      </w:r>
    </w:p>
    <w:p>
      <w:pPr>
        <w:ind w:firstLine="432"/>
      </w:pPr>
      <w:r>
        <w:rPr>
          <w:b w:val="0"/>
          <w:i w:val="0"/>
        </w:rPr>
        <w:t>En second lieu, le rythme d'innovation technologique — déploiement de la 5G, développement de l'edge computing, émergence des réseaux privés pour les entreprises — impose une veille technologique soutenue. Les opérateurs doivent anticiper les évolutions des standards techniques, les stratégies d'investissement de leurs concurrents dans les infrastructures, et les nouveaux usages rendus possibles par ces technologies. Pour un acteur comme Orange Business, qui opère sur le segment B2B des services numériques aux entreprises, la veille doit couvrir un spectre particulièrement large : concurrents directs (opérateurs télécoms), acteurs du cloud (AWS, Azure, Google Cloud), intégrateurs de solutions IT, et pure players de la cybersécurité. La capacité à synthétiser ces informations dispersées en insights actionnables constitue un avantage concurrentiel déterminant.</w:t>
      </w:r>
    </w:p>
    <w:p>
      <w:pPr>
        <w:ind w:firstLine="432"/>
      </w:pPr>
      <w:r>
        <w:rPr>
          <w:b w:val="0"/>
          <w:i w:val="0"/>
        </w:rPr>
        <w:t>Enfin, la dimension réglementaire est omniprésente dans les télécommunications. Les décisions des autorités de régulation nationales (ARCEP en France, Bundesnetzagentur en Allemagne) et européennes concernant l'attribution des fréquences, la régulation des tarifs d'interconnexion ou les obligations de couverture territoriale peuvent modifier substantiellement l'équilibre concurrentiel. La veille réglementaire constitue donc un volet essentiel du dispositif de veille des opérateurs.</w:t>
      </w:r>
    </w:p>
    <w:p>
      <w:r>
        <w:br w:type="page"/>
      </w:r>
    </w:p>
    <w:p>
      <w:pPr>
        <w:pStyle w:val="Heading1"/>
      </w:pPr>
      <w:r>
        <w:t>2. L'intelligence artificielle appliquée à la Business Intelligence</w:t>
      </w:r>
    </w:p>
    <w:p>
      <w:pPr>
        <w:pStyle w:val="Heading2"/>
      </w:pPr>
      <w:r>
        <w:t>2.1. Le traitement automatique du langage naturel et le text mining</w:t>
      </w:r>
    </w:p>
    <w:p>
      <w:pPr>
        <w:ind w:firstLine="432"/>
      </w:pPr>
      <w:r>
        <w:rPr>
          <w:b w:val="0"/>
          <w:i w:val="0"/>
        </w:rPr>
        <w:t>Le traitement automatique du langage naturel (Natural Language Processing, NLP) constitue l'une des branches de l'intelligence artificielle les plus directement pertinentes pour la veille concurrentielle. Le NLP vise à doter les machines de la capacité de comprendre, interpréter et générer du langage humain. Appliqué à la veille, il permet l'extraction automatisée d'informations structurées à partir de sources textuelles non structurées — articles de presse, rapports financiers, publications sur les réseaux sociaux, brevets — qui constituent la matière première de l'analyste de veille.</w:t>
      </w:r>
    </w:p>
    <w:p>
      <w:pPr>
        <w:ind w:firstLine="432"/>
      </w:pPr>
      <w:r>
        <w:rPr>
          <w:b w:val="0"/>
          <w:i w:val="0"/>
        </w:rPr>
        <w:t>Le text mining, défini comme l'ensemble des techniques permettant d'extraire des connaissances utiles à partir de grandes collections de textes, s'appuie sur un éventail de méthodes issues du NLP : la reconnaissance d'entités nommées (Named Entity Recognition, NER) pour identifier les acteurs, les produits et les lieux mentionnés dans les documents ; l'analyse de sentiment (sentiment analysis) pour évaluer la tonalité des discours publics sur les concurrents ; la classification automatique de documents par thématiques ; et le résumé automatique (text summarization) pour condenser de grands volumes de textes. Une revue systématique de la littérature publiée par Sahut et al. (2021) dans la revue International Journal of Information Management a montré que l'analyse des médias sociaux, l'analyse de marché et la veille concurrentielle constituent les thématiques dominantes des applications du text mining dans le domaine du management des services.</w:t>
      </w:r>
    </w:p>
    <w:p>
      <w:pPr>
        <w:ind w:firstLine="432"/>
      </w:pPr>
      <w:r>
        <w:rPr>
          <w:b w:val="0"/>
          <w:i w:val="0"/>
        </w:rPr>
        <w:t>L'avènement des architectures Transformer, introduites par Vaswani et al. (2017) dans l'article fondateur « Attention Is All You Need », a constitué une rupture paradigmatique dans le domaine du NLP. En remplaçant les mécanismes de récurrence par des mécanismes d'attention qui permettent de traiter les séquences textuelles de manière parallèle, les Transformers ont considérablement amélioré les performances des modèles de langage sur l'ensemble des tâches du NLP. Le modèle BERT (Bidirectional Encoder Representations from Transformers), proposé par Devlin et al. (2019), a démontré la puissance du pré-entraînement bidirectionnel pour les tâches de compréhension du langage, tandis que la série des modèles GPT a exploré la voie de la génération de texte (Brown et al., 2020). Ces avancées ont rendu possibles des applications de veille concurrentielle impensables quelques années auparavant, comme l'extraction automatique de signaux faibles à partir de flux d'informations continus.</w:t>
      </w:r>
    </w:p>
    <w:p>
      <w:pPr>
        <w:pStyle w:val="Heading2"/>
      </w:pPr>
      <w:r>
        <w:t>2.2. L'apprentissage automatique pour la détection de tendances</w:t>
      </w:r>
    </w:p>
    <w:p>
      <w:pPr>
        <w:ind w:firstLine="432"/>
      </w:pPr>
      <w:r>
        <w:rPr>
          <w:b w:val="0"/>
          <w:i w:val="0"/>
        </w:rPr>
        <w:t>Au-delà du NLP, les techniques d'apprentissage automatique (machine learning) offrent des capacités analytiques puissantes pour la détection de patterns et de tendances dans les données de veille. Les algorithmes de clustering permettent de regrouper automatiquement des documents ou des signaux thématiquement proches, facilitant ainsi l'identification de tendances émergentes. Les méthodes de détection d'anomalies peuvent signaler des événements inhabituels — un pic soudain de recrutements chez un concurrent, une variation significative de sa politique tarifaire — qui méritent une attention particulière de la part des analystes.</w:t>
      </w:r>
    </w:p>
    <w:p>
      <w:pPr>
        <w:ind w:firstLine="432"/>
      </w:pPr>
      <w:r>
        <w:rPr>
          <w:b w:val="0"/>
          <w:i w:val="0"/>
        </w:rPr>
        <w:t>L'analyse de séries temporelles, enrichie par des techniques de deep learning telles que les réseaux LSTM (Long Short-Term Memory) et les Transformers temporels, permet de modéliser l'évolution des indicateurs concurrentiels et d'identifier des ruptures de tendance. Dans le secteur des télécommunications, ces approches trouvent des applications concrètes dans le suivi en temps réel des parts de marché, l'analyse des stratégies tarifaires des concurrents, ou encore la prédiction des lancements de produits à partir de signaux précurseurs tels que les dépôts de brevets ou les offres d'emploi. Le rapport de l'OCDE sur l'intelligence artificielle et les dynamiques concurrentielles (OCDE, 2025) souligne que l'adoption de l'IA par les entreprises modifie en profondeur les dynamiques de marché, les firmes les plus avancées en matière d'IA disposant d'un avantage informationnel significatif.</w:t>
      </w:r>
    </w:p>
    <w:p>
      <w:pPr>
        <w:pStyle w:val="Heading2"/>
      </w:pPr>
      <w:r>
        <w:t>2.3. Le web scraping intelligent et la collecte automatisée</w:t>
      </w:r>
    </w:p>
    <w:p>
      <w:pPr>
        <w:ind w:firstLine="432"/>
      </w:pPr>
      <w:r>
        <w:rPr>
          <w:b w:val="0"/>
          <w:i w:val="0"/>
        </w:rPr>
        <w:t>La collecte automatisée de données sur le web, ou web scraping, constitue la première étape de toute chaîne de veille numérique. Les techniques de web scraping ont considérablement évolué ces dernières années, passant de scripts rudimentaires d'extraction HTML à des systèmes intelligents capables de naviguer dans des sites web dynamiques, de contourner les mécanismes anti-robots et d'adapter leur comportement aux changements de structure des pages. L'intégration de l'apprentissage automatique dans les outils de web scraping a permis l'émergence de ce que l'on peut qualifier de « scraping intelligent » : des agents capables de comprendre le contexte d'une page, d'identifier automatiquement les éléments pertinents à extraire (noms de produits, prix, caractéristiques techniques) et de s'adapter aux évolutions des sites cibles sans intervention humaine.</w:t>
      </w:r>
    </w:p>
    <w:p>
      <w:pPr>
        <w:ind w:firstLine="432"/>
      </w:pPr>
      <w:r>
        <w:rPr>
          <w:b w:val="0"/>
          <w:i w:val="0"/>
        </w:rPr>
        <w:t>Dans le contexte de la veille concurrentielle, le web scraping automatisé permet une surveillance continue des sites web des concurrents, des places de marché, des portails d'offres d'emploi et des bases de données réglementaires. Des plateformes telles que Browse AI ou Oxylabs illustrent cette tendance à l'automatisation intelligente de la collecte de données web, en proposant des fonctionnalités de monitoring en temps réel et de détection de changements. Néanmoins, le web scraping soulève des questions juridiques et éthiques importantes, notamment en matière de respect des conditions d'utilisation des sites web, de protection des données personnelles et de loyauté concurrentielle. Ces enjeux doivent être intégrés dans la conception de tout système de veille automatisée.</w:t>
      </w:r>
    </w:p>
    <w:p>
      <w:r>
        <w:br w:type="page"/>
      </w:r>
    </w:p>
    <w:p>
      <w:pPr>
        <w:pStyle w:val="Heading1"/>
      </w:pPr>
      <w:r>
        <w:t>3. Les architectures RAG (Retrieval-Augmented Generation)</w:t>
      </w:r>
    </w:p>
    <w:p>
      <w:pPr>
        <w:pStyle w:val="Heading2"/>
      </w:pPr>
      <w:r>
        <w:t>3.1. Principes fondamentaux et fonctionnement</w:t>
      </w:r>
    </w:p>
    <w:p>
      <w:pPr>
        <w:ind w:firstLine="432"/>
      </w:pPr>
      <w:r>
        <w:rPr>
          <w:b w:val="0"/>
          <w:i w:val="0"/>
        </w:rPr>
        <w:t>Le concept de Retrieval-Augmented Generation (RAG), ou génération augmentée par la recherche d'information, a été formalisé par Lewis et al. (2020) dans un article séminal présenté à la conférence NeurIPS. Les auteurs y proposent un cadre hybride qui combine un composant de recherche documentaire (retriever) avec un modèle de génération de texte (generator), permettant ainsi au système d'ancrer ses réponses dans des documents factuels extraits d'une base de connaissances. Le principe fondamental du RAG repose sur l'intuition que les modèles de langage purement paramétriques — c'est-à-dire qui s'appuient uniquement sur les connaissances encodées dans leurs paramètres lors de l'entraînement — présentent des limites structurelles : ils ne peuvent pas facilement mettre à jour leurs connaissances, ils peinent à fournir des explications sur l'origine de leurs réponses, et ils sont sujets aux hallucinations (Lewis et al., 2020).</w:t>
      </w:r>
    </w:p>
    <w:p>
      <w:pPr>
        <w:ind w:firstLine="432"/>
      </w:pPr>
      <w:r>
        <w:rPr>
          <w:b w:val="0"/>
          <w:i w:val="0"/>
        </w:rPr>
        <w:t>Le fonctionnement technique d'une architecture RAG se décompose en plusieurs étapes. Premièrement, les documents de la base de connaissances sont découpés en segments (chunks) puis transformés en représentations vectorielles (embeddings) à l'aide d'un modèle d'encodage sémantique. Ces embeddings sont stockés dans une base de données vectorielle (vector store) telle que Pinecone, Weaviate ou ChromaDB. Lorsqu'un utilisateur soumet une requête, celle-ci est à son tour transformée en embedding, et une recherche par similarité est effectuée dans la base vectorielle pour retrouver les documents les plus pertinents. Ces documents sont alors injectés dans le prompt du modèle de langage, qui génère une réponse contextualisée en s'appuyant sur les informations retrouvées. Ce processus est parfois qualifié de mémoire non paramétrique, par opposition à la mémoire paramétrique intrinsèque au modèle (Springer, 2025).</w:t>
      </w:r>
    </w:p>
    <w:p>
      <w:pPr>
        <w:ind w:firstLine="432"/>
      </w:pPr>
      <w:r>
        <w:rPr>
          <w:b w:val="0"/>
          <w:i w:val="0"/>
        </w:rPr>
        <w:t>Depuis l'article fondateur de Lewis et al., l'architecture RAG a fait l'objet de nombreuses améliorations. Les surveys récents (Gao et al., 2024 ; Singh et Ehtesham, 2025) identifient plusieurs axes d'évolution : l'amélioration des stratégies de découpage des documents, le raffinement des méthodes de recherche sémantique (hybrid search combinant recherche vectorielle et lexicale), le re-ranking des documents retrouvés pour en améliorer la pertinence, et l'émergence du concept de « RAG agentique » où des agents autonomes orchestrent dynamiquement le processus de recherche et de génération. Le cadre R2AG proposé par Ye et al. (2024) illustre cette tendance en introduisant un re-ranking récursif des documents pendant la génération, adaptant dynamiquement les priorités en fonction de l'évolution de la réponse.</w:t>
      </w:r>
    </w:p>
    <w:p>
      <w:pPr>
        <w:pStyle w:val="Heading2"/>
      </w:pPr>
      <w:r>
        <w:t>3.2. Applications en contexte entreprise</w:t>
      </w:r>
    </w:p>
    <w:p>
      <w:pPr>
        <w:ind w:firstLine="432"/>
      </w:pPr>
      <w:r>
        <w:rPr>
          <w:b w:val="0"/>
          <w:i w:val="0"/>
        </w:rPr>
        <w:t>L'adoption du RAG en entreprise s'est considérablement accélérée depuis 2023, portée par la démocratisation des LLMs et la nécessité de les ancrer dans les connaissances propres à chaque organisation. L'un des cas d'usage les plus documentés est celui de Morgan Stanley, qui a déployé un chatbot interne alimenté par GPT-4 et connecté à sa vaste base documentaire de recherche financière, permettant à ses conseillers en gestion de patrimoine d'accéder instantanément à des synthèses pertinentes issues de milliers de rapports internes (ZenML, 2024). Ce déploiement illustre le potentiel du RAG pour la gestion des connaissances en entreprise : plutôt que de réentraîner un modèle coûteusement sur des données propriétaires, le RAG permet d'injecter dynamiquement le contexte organisationnel dans les réponses du modèle.</w:t>
      </w:r>
    </w:p>
    <w:p>
      <w:pPr>
        <w:ind w:firstLine="432"/>
      </w:pPr>
      <w:r>
        <w:rPr>
          <w:b w:val="0"/>
          <w:i w:val="0"/>
        </w:rPr>
        <w:t>Miyaji et al. (2025), dans un article présenté à la conférence IEEE on Artificial Intelligence, démontrent comment un système RAG avancé peut transformer la prise de décision en entreprise en permettant une interrogation en langage naturel des bases de connaissances organisationnelles. L'étude de Veturi et al. (2024), citée dans une revue publiée par Springer dans la revue Business &amp; Information Systems Engineering, montre comment l'utilisation de données organisationnelles (documents de politique interne, procédures, guides) dans un système RAG améliore significativement la performance du système par rapport à un LLM générique. Ces résultats convergent vers un constat : le RAG constitue aujourd'hui la méthode privilégiée pour adapter les LLMs à des contextes organisationnels spécifiques sans les coûts et la complexité du fine-tuning.</w:t>
      </w:r>
    </w:p>
    <w:p>
      <w:pPr>
        <w:pStyle w:val="Heading2"/>
      </w:pPr>
      <w:r>
        <w:t>3.3. RAG versus fine-tuning : avantages comparatifs pour la veille</w:t>
      </w:r>
    </w:p>
    <w:p>
      <w:pPr>
        <w:ind w:firstLine="432"/>
      </w:pPr>
      <w:r>
        <w:rPr>
          <w:b w:val="0"/>
          <w:i w:val="0"/>
        </w:rPr>
        <w:t>Le choix entre RAG et fine-tuning constitue une décision architecturale structurante pour tout projet d'IA appliquée à la veille concurrentielle. Le fine-tuning consiste à poursuivre l'entraînement d'un modèle pré-entraîné sur un jeu de données spécifique au domaine cible, modifiant ainsi les paramètres internes du modèle pour qu'il intègre des connaissances spécialisées. Le RAG, en revanche, laisse le modèle inchangé et lui fournit le contexte pertinent au moment de l'inférence. Selon IBM (2025), la différence fondamentale réside dans le fait que le RAG connecte le LLM à une base de données propriétaire, tandis que le fine-tuning optimise le modèle pour des tâches spécifiques à un domaine.</w:t>
      </w:r>
    </w:p>
    <w:p>
      <w:pPr>
        <w:ind w:firstLine="432"/>
      </w:pPr>
      <w:r>
        <w:rPr>
          <w:b w:val="0"/>
          <w:i w:val="0"/>
        </w:rPr>
        <w:t>Pour un système de veille concurrentielle, le RAG présente plusieurs avantages décisifs. Premièrement, la fraîcheur de l'information : les données de veille évoluent quotidiennement, et le RAG permet d'intégrer immédiatement de nouveaux documents sans réentraînement du modèle. Deuxièmement, la traçabilité : le RAG permet de citer les sources documentaires sur lesquelles repose chaque réponse, un impératif en matière de veille où la crédibilité de l'information dépend de sa provenance. Troisièmement, le coût : le fine-tuning d'un LLM de grande taille requiert des ressources computationnelles considérables et une expertise technique pointue, tandis que le RAG peut être implémenté avec des ressources plus modestes. Comme le souligne Oracle (2024), le RAG est plus simple à implémenter tout en offrant une flexibilité supérieure pour les environnements dynamiques.</w:t>
      </w:r>
    </w:p>
    <w:p>
      <w:pPr>
        <w:ind w:firstLine="432"/>
      </w:pPr>
      <w:r>
        <w:rPr>
          <w:b w:val="0"/>
          <w:i w:val="0"/>
        </w:rPr>
        <w:t>Toutefois, le fine-tuning conserve sa pertinence dans certains cas. Pour des domaines stables dont les connaissances évoluent peu, le fine-tuning peut offrir de meilleures performances sans la surcharge liée à la recherche documentaire en temps réel. En pratique, plusieurs études suggèrent que la combinaison des deux approches — un modèle fine-tuné augmenté par du RAG — peut produire des résultats optimaux, comme le montrent les travaux comparatifs sur les modèles FlanT5 (Khadka, 2024). Pour un système de veille concurrentielle dans les télécommunications, où l'environnement informationnel est hautement dynamique, le RAG apparaît néanmoins comme l'approche la plus adaptée.</w:t>
      </w:r>
    </w:p>
    <w:p>
      <w:r>
        <w:br w:type="page"/>
      </w:r>
    </w:p>
    <w:p>
      <w:pPr>
        <w:pStyle w:val="Heading1"/>
      </w:pPr>
      <w:r>
        <w:t>4. Les grands modèles de langage et chatbots pour la gestion des connaissances</w:t>
      </w:r>
    </w:p>
    <w:p>
      <w:pPr>
        <w:pStyle w:val="Heading2"/>
      </w:pPr>
      <w:r>
        <w:t>4.1. État de l'art des LLMs</w:t>
      </w:r>
    </w:p>
    <w:p>
      <w:pPr>
        <w:ind w:firstLine="432"/>
      </w:pPr>
      <w:r>
        <w:rPr>
          <w:b w:val="0"/>
          <w:i w:val="0"/>
        </w:rPr>
        <w:t>Les grands modèles de langage (Large Language Models, LLMs) ont connu une progression fulgurante depuis l'introduction de l'architecture Transformer par Vaswani et al. (2017). Le modèle GPT-3, présenté par Brown et al. (2020) avec ses 175 milliards de paramètres, a démontré la capacité des LLMs à réaliser un éventail remarquable de tâches linguistiques en « few-shot learning », c'est-à-dire à partir d'un nombre très réduit d'exemples fournis dans le prompt. Cette démonstration a ouvert la voie à une course à l'échelle qui a vu émerger des modèles toujours plus performants : GPT-4 (OpenAI, 2023), Claude 3 puis Claude 3.5 (Anthropic, 2024), Gemini (Google, 2024), et LLaMA (Meta, 2023) dans le domaine des modèles ouverts.</w:t>
      </w:r>
    </w:p>
    <w:p>
      <w:pPr>
        <w:ind w:firstLine="432"/>
      </w:pPr>
      <w:r>
        <w:rPr>
          <w:b w:val="0"/>
          <w:i w:val="0"/>
        </w:rPr>
        <w:t>L'état de l'art des LLMs en 2025 se caractérise par plusieurs tendances majeures. D'une part, l'augmentation des fenêtres de contexte — passant de quelques milliers de tokens à plusieurs centaines de milliers, voire des millions — permet aux modèles de traiter des documents longs dans leur intégralité. D'autre part, l'émergence de capacités de raisonnement améliorées, comme en témoignent les modèles dits « de raisonnement » (o1 d'OpenAI, Claude avec le mode de pensée étendu d'Anthropic), ouvre des perspectives pour des tâches analytiques complexes telles que la synthèse de veille concurrentielle. Enfin, la tendance à la spécialisation sectorielle et à la réduction de taille des modèles (small language models) rend ces technologies accessibles à un nombre croissant d'organisations, y compris celles disposant de ressources computationnelles limitées.</w:t>
      </w:r>
    </w:p>
    <w:p>
      <w:pPr>
        <w:pStyle w:val="Heading2"/>
      </w:pPr>
      <w:r>
        <w:t>4.2. Chatbots conversationnels en entreprise</w:t>
      </w:r>
    </w:p>
    <w:p>
      <w:pPr>
        <w:ind w:firstLine="432"/>
      </w:pPr>
      <w:r>
        <w:rPr>
          <w:b w:val="0"/>
          <w:i w:val="0"/>
        </w:rPr>
        <w:t>Le déploiement de chatbots conversationnels alimentés par des LLMs en entreprise constitue l'une des applications les plus visibles de l'IA générative. Ces systèmes diffèrent fondamentalement des chatbots traditionnels à base de règles (rule-based) par leur capacité à comprendre des requêtes formulées en langage naturel et à générer des réponses contextualisées et fluides. L'article de Sridhara et al. (2024), publié sur arXiv sous le titre « FACTS About Building Retrieval Augmented Generation-based Chatbots », souligne que la construction d'un chatbot d'entreprise réussi, même à l'ère post-ChatGPT, reste un défi d'ingénierie considérable. Le processus exige une ingénierie méticuleuse des pipelines RAG, un ajustement fin des LLMs, une conception soignée des prompts, tout en garantissant la pertinence et l'exactitude des connaissances de l'entreprise, le respect des droits d'accès aux documents et la protection des informations personnelles.</w:t>
      </w:r>
    </w:p>
    <w:p>
      <w:pPr>
        <w:ind w:firstLine="432"/>
      </w:pPr>
      <w:r>
        <w:rPr>
          <w:b w:val="0"/>
          <w:i w:val="0"/>
        </w:rPr>
        <w:t>Pour la veille concurrentielle, un chatbot RAG offre un mode d'accès inédit à l'intelligence concurrentielle. Plutôt que de consulter des tableaux de bord statiques ou de parcourir des rapports volumineux, les analystes et les décideurs peuvent interroger le système en langage naturel : « Quelles sont les dernières annonces de Deutsche Telekom concernant la 5G privée ? », « Comment évolue la stratégie cloud de Vodafone par rapport au trimestre précédent ? ». Le chatbot, grâce à l'architecture RAG, recherche dans la base documentaire de veille les informations les plus pertinentes et génère une réponse synthétique assortie de références. Ce mode d'interaction conversationnel réduit considérablement le temps d'accès à l'information et démocratise l'usage de la veille concurrentielle au sein de l'organisation.</w:t>
      </w:r>
    </w:p>
    <w:p>
      <w:pPr>
        <w:pStyle w:val="Heading2"/>
      </w:pPr>
      <w:r>
        <w:t>4.3. Génération automatique de synthèses et rapports</w:t>
      </w:r>
    </w:p>
    <w:p>
      <w:pPr>
        <w:ind w:firstLine="432"/>
      </w:pPr>
      <w:r>
        <w:rPr>
          <w:b w:val="0"/>
          <w:i w:val="0"/>
        </w:rPr>
        <w:t>La génération automatique de synthèses constitue une application particulièrement prometteuse des LLMs pour la veille concurrentielle. Traditionnellement, la production de rapports de veille hebdomadaires ou mensuels mobilise un temps considérable de la part des analystes, qui doivent compiler, recouper et synthétiser des dizaines, voire des centaines de sources. Les LLMs, combinés à une architecture RAG, permettent d'automatiser une grande partie de ce processus : le système collecte automatiquement les nouvelles informations sur une période donnée, les classe par thématique et par importance, et génère une synthèse structurée qui met en lumière les faits saillants, les tendances émergentes et les signaux faibles.</w:t>
      </w:r>
    </w:p>
    <w:p>
      <w:pPr>
        <w:ind w:firstLine="432"/>
      </w:pPr>
      <w:r>
        <w:rPr>
          <w:b w:val="0"/>
          <w:i w:val="0"/>
        </w:rPr>
        <w:t>La revue systématique de la littérature sur le RAG et les LLMs pour la gestion des connaissances en entreprise, publiée en décembre 2025 sur Preprints.org, analyse 77 études primaires et confirme le potentiel de ces technologies pour répondre aux défis pratiques des organisations en matière de gestion documentaire et d'automatisation des rapports (Preprints, 2025). Toutefois, les auteurs soulignent que l'adoption en entreprise reste freinée par plusieurs facteurs : la qualité variable des données d'entrée, la nécessité de valider les outputs générés, et les préoccupations relatives à la confidentialité des données. La génération automatique de synthèses ne vise donc pas à remplacer l'analyste humain, mais à lui fournir une première version enrichie qu'il pourra réviser, compléter et valider avant diffusion.</w:t>
      </w:r>
    </w:p>
    <w:p>
      <w:r>
        <w:br w:type="page"/>
      </w:r>
    </w:p>
    <w:p>
      <w:pPr>
        <w:pStyle w:val="Heading1"/>
      </w:pPr>
      <w:r>
        <w:t>5. Cadre éthique, limites et perspectives</w:t>
      </w:r>
    </w:p>
    <w:p>
      <w:pPr>
        <w:pStyle w:val="Heading2"/>
      </w:pPr>
      <w:r>
        <w:t>5.1. Biais algorithmiques et équité</w:t>
      </w:r>
    </w:p>
    <w:p>
      <w:pPr>
        <w:ind w:firstLine="432"/>
      </w:pPr>
      <w:r>
        <w:rPr>
          <w:b w:val="0"/>
          <w:i w:val="0"/>
        </w:rPr>
        <w:t>L'utilisation de l'intelligence artificielle dans les processus de veille concurrentielle n'est pas exempte de risques, au premier rang desquels figurent les biais algorithmiques. Les LLMs, entraînés sur de vastes corpus de textes issus d'Internet, héritent inévitablement des biais présents dans leurs données d'entraînement. Comme le souligne la survey exhaustive d'Alansari et Luqman (2025) publiée dans les archives arXiv, les données utilisées pour l'entraînement des LLMs constituent une source significative de biais que les modèles peuvent involontairement acquérir et propager. Ces biais peuvent se manifester de multiples manières : surreprésentation de certaines perspectives culturelles ou économiques, sous-représentation de certaines régions géographiques ou de certains acteurs économiques, ou encore reproduction de stéréotypes sectoriels.</w:t>
      </w:r>
    </w:p>
    <w:p>
      <w:pPr>
        <w:ind w:firstLine="432"/>
      </w:pPr>
      <w:r>
        <w:rPr>
          <w:b w:val="0"/>
          <w:i w:val="0"/>
        </w:rPr>
        <w:t>Dans le contexte de la veille concurrentielle, les biais algorithmiques peuvent conduire à des analyses déformées de l'environnement concurrentiel. Un système de veille biaisé pourrait, par exemple, surestimer systématiquement l'importance de certains concurrents au détriment d'autres, ou privilégier certaines sources d'information au détriment de sources tout aussi pertinentes mais moins représentées dans les données d'entraînement du modèle. La prise de conscience de ces biais et la mise en place de mécanismes de détection et de correction constituent un impératif pour garantir la fiabilité des systèmes de veille augmentés par l'IA. La survey de Huang et al. (2024), publiée dans ACM Transactions on Information Systems, propose une taxonomie détaillée des hallucinations et des biais dans les LLMs, offrant un cadre analytique utile pour les praticiens.</w:t>
      </w:r>
    </w:p>
    <w:p>
      <w:pPr>
        <w:pStyle w:val="Heading2"/>
      </w:pPr>
      <w:r>
        <w:t>5.2. RGPD, AI Act et protection des données personnelles</w:t>
      </w:r>
    </w:p>
    <w:p>
      <w:pPr>
        <w:ind w:firstLine="432"/>
      </w:pPr>
      <w:r>
        <w:rPr>
          <w:b w:val="0"/>
          <w:i w:val="0"/>
        </w:rPr>
        <w:t>Le cadre juridique européen impose des contraintes strictes en matière de protection des données personnelles qui doivent être intégrées dès la conception de tout système de veille augmenté par l'IA. Le Règlement Général sur la Protection des Données (RGPD), entré en vigueur en 2018, s'applique pleinement aux systèmes d'IA qui traitent des données personnelles. La Commission Nationale de l'Informatique et des Libertés (CNIL) a publié en janvier 2024 une recommandation spécifique sur l'application du RGPD au développement des systèmes d'intelligence artificielle (CNIL, 2024), rappelant les obligations en matière de finalité du traitement, de minimisation des données, de transparence et de droit à l'explication.</w:t>
      </w:r>
    </w:p>
    <w:p>
      <w:pPr>
        <w:ind w:firstLine="432"/>
      </w:pPr>
      <w:r>
        <w:rPr>
          <w:b w:val="0"/>
          <w:i w:val="0"/>
        </w:rPr>
        <w:t>Le Règlement européen sur l'Intelligence Artificielle (AI Act), publié le 12 juillet 2024 et entrant progressivement en application à partir du 1er août 2024, ajoute une couche réglementaire supplémentaire. Comme le précise la CNIL dans ses premiers éléments de réponse (CNIL, 2024), le Règlement sur l'IA ne remplace pas les exigences du RGPD mais vise à les compléter en posant les conditions requises pour développer et déployer des systèmes d'IA de confiance. Pour un système de veille concurrentielle, ces contraintes se traduisent concrètement par la nécessité de s'assurer que les données collectées par web scraping ne contiennent pas de données personnelles traitées illicitement, que les bases documentaires alimentant le RAG respectent les droits de propriété intellectuelle, et que les utilisateurs du système sont informés de la nature automatisée des synthèses produites.</w:t>
      </w:r>
    </w:p>
    <w:p>
      <w:pPr>
        <w:pStyle w:val="Heading2"/>
      </w:pPr>
      <w:r>
        <w:t>5.3. Hallucinations et fiabilité des LLMs</w:t>
      </w:r>
    </w:p>
    <w:p>
      <w:pPr>
        <w:ind w:firstLine="432"/>
      </w:pPr>
      <w:r>
        <w:rPr>
          <w:b w:val="0"/>
          <w:i w:val="0"/>
        </w:rPr>
        <w:t>Le phénomène des hallucinations constitue l'une des limites les plus préoccupantes des LLMs dans un contexte de veille concurrentielle où l'exactitude factuelle est primordiale. Une hallucination se produit lorsque le modèle génère des informations plausibles mais factuellement incorrectes, inventées de toutes pièces ou en contradiction avec les sources disponibles. La survey de Huang et al. (2024) distingue trois types d'hallucinations : l'infidélité aux données d'entraînement, l'infidélité aux données d'entrée (le prompt), et l'infidélité aux faits réels du monde. Dans le domaine juridique, Dahl et al. (2024) ont documenté la persistance de ces hallucinations même dans les systèmes RAG, soulignant que la recherche documentaire ne constitue pas une panacée.</w:t>
      </w:r>
    </w:p>
    <w:p>
      <w:pPr>
        <w:ind w:firstLine="432"/>
      </w:pPr>
      <w:r>
        <w:rPr>
          <w:b w:val="0"/>
          <w:i w:val="0"/>
        </w:rPr>
        <w:t>Pour un système de veille concurrentielle, les conséquences d'une hallucination peuvent être significatives : une information fabricée sur la stratégie d'un concurrent pourrait conduire à des décisions stratégiques erronées. L'architecture RAG réduit substantiellement le risque d'hallucination en ancrant les réponses dans des documents factuels, mais ne l'élimine pas totalement. Le modèle peut encore halluciner en interprétant incorrectement les documents retrouvés ou en comblant des lacunes informationnelles par des inférences non fondées. Des approches telles que le « Confidence-Calibrated RAG » proposé par Ozaki et al. (2025), qui calibre le niveau de confiance des réponses en fonction de la qualité des documents retrouvés, ouvrent des pistes prometteuses pour améliorer la fiabilité des systèmes. En pratique, la mise en place d'un circuit de validation humaine des outputs critiques reste indispensable.</w:t>
      </w:r>
    </w:p>
    <w:p>
      <w:pPr>
        <w:pStyle w:val="Heading2"/>
      </w:pPr>
      <w:r>
        <w:t>5.4. La complémentarité humain-IA</w:t>
      </w:r>
    </w:p>
    <w:p>
      <w:pPr>
        <w:ind w:firstLine="432"/>
      </w:pPr>
      <w:r>
        <w:rPr>
          <w:b w:val="0"/>
          <w:i w:val="0"/>
        </w:rPr>
        <w:t>La question de la complémentarité entre l'intelligence artificielle et l'expertise humaine se pose avec acuité dans le domaine de la veille concurrentielle. Loin de l'opposition simpliste entre automatisation totale et intervention humaine exclusive, la littérature récente plaide pour une approche d'intelligence augmentée (augmented intelligence) où l'IA amplifie les capacités de l'analyste plutôt qu'elle ne le remplace. L'IA excelle dans le traitement de volumes massifs de données, la détection de patterns récurrents et la synthèse d'informations dispersées. L'humain, en revanche, conserve un avantage irremplaçable dans l'interprétation contextuelle, le jugement stratégique, la prise en compte de facteurs intangibles (culture d'entreprise, dynamiques interpersonnelles, intuitions de marché) et la validation critique des outputs de l'IA.</w:t>
      </w:r>
    </w:p>
    <w:p>
      <w:pPr>
        <w:ind w:firstLine="432"/>
      </w:pPr>
      <w:r>
        <w:rPr>
          <w:b w:val="0"/>
          <w:i w:val="0"/>
        </w:rPr>
        <w:t>Dans le cadre d'un système de veille augmenté par l'IA tel que le MVP développé pour Orange Business, cette complémentarité se traduit par un workflow où l'IA assure la collecte, le prétraitement et la première synthèse des informations, tandis que l'analyste humain intervient pour valider, enrichir et contextualiser les insights produits. Les synthèses hebdomadaires générées automatiquement ne sont pas diffusées telles quelles, mais constituent une matière première que l'expert de veille transforme en recommandations stratégiques actionnables. Cette approche « human-in-the-loop » permet de tirer parti de la puissance de calcul de l'IA tout en préservant la rigueur analytique et le discernement que seul l'humain peut apporter. Elle constitue, selon plusieurs études, le modèle le plus réaliste et le plus efficace d'intégration de l'IA dans les processus décisionnels des organisations (McKinsey, 2025).</w:t>
      </w:r>
    </w:p>
    <w:p>
      <w:r>
        <w:br w:type="page"/>
      </w:r>
    </w:p>
    <w:p>
      <w:pPr>
        <w:pStyle w:val="Heading1"/>
      </w:pPr>
      <w:r>
        <w:t>Conclusion</w:t>
      </w:r>
    </w:p>
    <w:p>
      <w:pPr>
        <w:ind w:firstLine="432"/>
      </w:pPr>
      <w:r>
        <w:rPr>
          <w:b w:val="0"/>
          <w:i w:val="0"/>
        </w:rPr>
        <w:t>Cette revue de littérature a permis de dresser un panorama des connaissances académiques et professionnelles à l'intersection de la veille concurrentielle et de l'intelligence artificielle, dans le contexte spécifique du secteur des télécommunications. Plusieurs enseignements majeurs se dégagent de cette analyse.</w:t>
      </w:r>
    </w:p>
    <w:p>
      <w:pPr>
        <w:ind w:firstLine="432"/>
      </w:pPr>
      <w:r>
        <w:rPr>
          <w:b w:val="0"/>
          <w:i w:val="0"/>
        </w:rPr>
        <w:t>Premièrement, la veille concurrentielle, ancrée dans une tradition théorique riche depuis les travaux fondateurs de Porter (1985) et formalisée par des modèles processuels tels que le cycle du renseignement, est confrontée à un défi de transformation numérique qui remet en question ses méthodes traditionnelles. L'explosion des sources d'information numériques et la vitesse croissante des dynamiques concurrentielles, particulièrement dans un secteur aussi turbulent que les télécommunications, rendent indispensable le recours à des outils d'automatisation et d'analyse avancés.</w:t>
      </w:r>
    </w:p>
    <w:p>
      <w:pPr>
        <w:ind w:firstLine="432"/>
      </w:pPr>
      <w:r>
        <w:rPr>
          <w:b w:val="0"/>
          <w:i w:val="0"/>
        </w:rPr>
        <w:t>Deuxièmement, les technologies d'intelligence artificielle — NLP, text mining, machine learning, web scraping intelligent — offrent des capacités opérationnelles directement applicables à chaque étape du cycle de veille, de la collecte à la diffusion en passant par l'analyse. Les architectures RAG, en particulier, se distinguent comme la solution la plus adaptée pour intégrer les LLMs dans un contexte organisationnel, en permettant d'ancrer les réponses générées dans des bases de connaissances propriétaires continuellement mises à jour.</w:t>
      </w:r>
    </w:p>
    <w:p>
      <w:pPr>
        <w:ind w:firstLine="432"/>
      </w:pPr>
      <w:r>
        <w:rPr>
          <w:b w:val="0"/>
          <w:i w:val="0"/>
        </w:rPr>
        <w:t>Troisièmement, le déploiement de chatbots conversationnels et de systèmes de génération automatique de synthèses transforme le mode d'accès à l'intelligence concurrentielle, en le rendant plus rapide, plus intuitif et plus démocratique au sein des organisations. Toutefois, les défis éthiques et techniques — hallucinations, biais, conformité réglementaire — imposent la mise en place de garde-fous robustes et le maintien d'une supervision humaine qualifiée.</w:t>
      </w:r>
    </w:p>
    <w:p>
      <w:pPr>
        <w:ind w:firstLine="432"/>
      </w:pPr>
      <w:r>
        <w:rPr>
          <w:b w:val="0"/>
          <w:i w:val="0"/>
        </w:rPr>
        <w:t>Ces constats fondent la pertinence de la problématique de ce mémoire et orientent les choix architecturaux du MVP de veille automatisée développé pour Orange Business. La suite de ce travail s'attachera à décrire la méthodologie de conception du système, à présenter les résultats de son déploiement expérimental, et à en évaluer les apports au regard des attentes des utilisateurs et des objectifs stratégiques de l'organisation.</w:t>
      </w:r>
    </w:p>
    <w:p>
      <w:r>
        <w:br w:type="page"/>
      </w:r>
    </w:p>
    <w:p>
      <w:pPr>
        <w:pStyle w:val="Heading1"/>
      </w:pPr>
      <w:r>
        <w:t>Références bibliographiques</w:t>
      </w:r>
    </w:p>
    <w:p>
      <w:pPr>
        <w:spacing w:after="80"/>
        <w:ind w:hanging="432" w:left="432"/>
      </w:pPr>
      <w:r>
        <w:t>Alansari, A. et Luqman, H. (2025). Large Language Models Hallucination: A Comprehensive Survey. arXiv preprint arXiv:2510.06265.</w:t>
      </w:r>
    </w:p>
    <w:p>
      <w:pPr>
        <w:spacing w:after="80"/>
        <w:ind w:hanging="432" w:left="432"/>
      </w:pPr>
      <w:r>
        <w:t>Brown, T. B. et al. (2020). Language Models are Few-Shot Learners. Advances in Neural Information Processing Systems, 33, 1877-1901.</w:t>
      </w:r>
    </w:p>
    <w:p>
      <w:pPr>
        <w:spacing w:after="80"/>
        <w:ind w:hanging="432" w:left="432"/>
      </w:pPr>
      <w:r>
        <w:t>CIGREF (1998). Veille stratégique : rapport du groupe de travail. Paris : CIGREF.</w:t>
      </w:r>
    </w:p>
    <w:p>
      <w:pPr>
        <w:spacing w:after="80"/>
        <w:ind w:hanging="432" w:left="432"/>
      </w:pPr>
      <w:r>
        <w:t>CNIL (2024). Délibération n° 2024-011 du 18 janvier 2024 portant adoption d'une recommandation sur l'application du RGPD au développement des systèmes d'intelligence artificielle. Paris : CNIL.</w:t>
      </w:r>
    </w:p>
    <w:p>
      <w:pPr>
        <w:spacing w:after="80"/>
        <w:ind w:hanging="432" w:left="432"/>
      </w:pPr>
      <w:r>
        <w:t>CNIL (2024). Entrée en vigueur du règlement européen sur l'IA : les premières questions-réponses. Paris : CNIL.</w:t>
      </w:r>
    </w:p>
    <w:p>
      <w:pPr>
        <w:spacing w:after="80"/>
        <w:ind w:hanging="432" w:left="432"/>
      </w:pPr>
      <w:r>
        <w:t>Devlin, J. et al. (2019). BERT: Pre-training of Deep Bidirectional Transformers for Language Understanding. Proceedings of NAACL-HLT, 4171-4186.</w:t>
      </w:r>
    </w:p>
    <w:p>
      <w:pPr>
        <w:spacing w:after="80"/>
        <w:ind w:hanging="432" w:left="432"/>
      </w:pPr>
      <w:r>
        <w:t>Gao, Y. et al. (2024). Retrieval-Augmented Generation: A Comprehensive Survey of Architectures, Enhancements, and Robustness Frontiers. arXiv preprint.</w:t>
      </w:r>
    </w:p>
    <w:p>
      <w:pPr>
        <w:spacing w:after="80"/>
        <w:ind w:hanging="432" w:left="432"/>
      </w:pPr>
      <w:r>
        <w:t>Gartner (2024). Market Opportunity Map: Artificial Intelligence Services, Worldwide, 2024. Stamford : Gartner Inc.</w:t>
      </w:r>
    </w:p>
    <w:p>
      <w:pPr>
        <w:spacing w:after="80"/>
        <w:ind w:hanging="432" w:left="432"/>
      </w:pPr>
      <w:r>
        <w:t>Gartner (2024). Hype Cycle for Artificial Intelligence, 2024. Stamford : Gartner Inc.</w:t>
      </w:r>
    </w:p>
    <w:p>
      <w:pPr>
        <w:spacing w:after="80"/>
        <w:ind w:hanging="432" w:left="432"/>
      </w:pPr>
      <w:r>
        <w:t>Huang, L. et al. (2024). A Survey on Hallucination in Large Language Models: Principles, Taxonomy, Challenges, and Open Questions. ACM Transactions on Information Systems.</w:t>
      </w:r>
    </w:p>
    <w:p>
      <w:pPr>
        <w:spacing w:after="80"/>
        <w:ind w:hanging="432" w:left="432"/>
      </w:pPr>
      <w:r>
        <w:t>IBM (2025). RAG vs. Fine-tuning. IBM Think Topics.</w:t>
      </w:r>
    </w:p>
    <w:p>
      <w:pPr>
        <w:spacing w:after="80"/>
        <w:ind w:hanging="432" w:left="432"/>
      </w:pPr>
      <w:r>
        <w:t>Lewis, P. et al. (2020). Retrieval-Augmented Generation for Knowledge-Intensive NLP Tasks. Advances in Neural Information Processing Systems, 33, 9459-9474.</w:t>
      </w:r>
    </w:p>
    <w:p>
      <w:pPr>
        <w:spacing w:after="80"/>
        <w:ind w:hanging="432" w:left="432"/>
      </w:pPr>
      <w:r>
        <w:t>Martre, H. (1994). Intelligence économique et stratégie des entreprises. Rapport du Commissariat Général du Plan. Paris : La Documentation Française.</w:t>
      </w:r>
    </w:p>
    <w:p>
      <w:pPr>
        <w:spacing w:after="80"/>
        <w:ind w:hanging="432" w:left="432"/>
      </w:pPr>
      <w:r>
        <w:t>McKinsey &amp; Company (2025). The State of AI in 2025: Agents, Innovation, and Transformation. New York : McKinsey Global Institute.</w:t>
      </w:r>
    </w:p>
    <w:p>
      <w:pPr>
        <w:spacing w:after="80"/>
        <w:ind w:hanging="432" w:left="432"/>
      </w:pPr>
      <w:r>
        <w:t>Miyaji, R. et al. (2025). Empowering Business Decisions and Knowledge Management Through Advanced RAG-Driven QA Systems. IEEE Conference on Artificial Intelligence (CAI), 55-60.</w:t>
      </w:r>
    </w:p>
    <w:p>
      <w:pPr>
        <w:spacing w:after="80"/>
        <w:ind w:hanging="432" w:left="432"/>
      </w:pPr>
      <w:r>
        <w:t>OCDE (2025). Artificial Intelligence and Competitive Dynamics in Downstream Markets. Paris : Éditions OCDE.</w:t>
      </w:r>
    </w:p>
    <w:p>
      <w:pPr>
        <w:spacing w:after="80"/>
        <w:ind w:hanging="432" w:left="432"/>
      </w:pPr>
      <w:r>
        <w:t>Oracle (2024). RAG vs. Fine-Tuning: How to Choose. Oracle Cloud Infrastructure.</w:t>
      </w:r>
    </w:p>
    <w:p>
      <w:pPr>
        <w:spacing w:after="80"/>
        <w:ind w:hanging="432" w:left="432"/>
      </w:pPr>
      <w:r>
        <w:t>Ozaki et al. (2025). Confidence-Calibrated RAG. arXiv preprint.</w:t>
      </w:r>
    </w:p>
    <w:p>
      <w:pPr>
        <w:spacing w:after="80"/>
        <w:ind w:hanging="432" w:left="432"/>
      </w:pPr>
      <w:r>
        <w:t>Pellissier, R. et Nenzhelele, T. E. (2013). Towards a Universal Competitive Intelligence Process Model. South African Journal of Information Management, 15(2), 1-7.</w:t>
      </w:r>
    </w:p>
    <w:p>
      <w:pPr>
        <w:spacing w:after="80"/>
        <w:ind w:hanging="432" w:left="432"/>
      </w:pPr>
      <w:r>
        <w:t>Porter, M. E. (1985). Competitive Advantage: Creating and Sustaining Superior Performance. New York : Free Press.</w:t>
      </w:r>
    </w:p>
    <w:p>
      <w:pPr>
        <w:spacing w:after="80"/>
        <w:ind w:hanging="432" w:left="432"/>
      </w:pPr>
      <w:r>
        <w:t>Porter, M. E. (2008). The Five Competitive Forces That Shape Strategy. Harvard Business Review, 86(1), 78-93.</w:t>
      </w:r>
    </w:p>
    <w:p>
      <w:pPr>
        <w:spacing w:after="80"/>
        <w:ind w:hanging="432" w:left="432"/>
      </w:pPr>
      <w:r>
        <w:t>Rouach, D. et Santi, P. (2001). Competitive Intelligence Adds Value: Five Intelligence Attitudes. European Management Journal, 19(5), 552-559.</w:t>
      </w:r>
    </w:p>
    <w:p>
      <w:pPr>
        <w:spacing w:after="80"/>
        <w:ind w:hanging="432" w:left="432"/>
      </w:pPr>
      <w:r>
        <w:t>Sahut, J.-M. et al. (2021). Applications of Text Mining in Services Management: A Systematic Literature Review. International Journal of Information Management Data Insights, 1(1), 100001.</w:t>
      </w:r>
    </w:p>
    <w:p>
      <w:pPr>
        <w:spacing w:after="80"/>
        <w:ind w:hanging="432" w:left="432"/>
      </w:pPr>
      <w:r>
        <w:t>Singh, A. et Ehtesham, A. (2025). Agentic Retrieval-Augmented Generation: A Survey on Agentic RAG. arXiv preprint.</w:t>
      </w:r>
    </w:p>
    <w:p>
      <w:pPr>
        <w:spacing w:after="80"/>
        <w:ind w:hanging="432" w:left="432"/>
      </w:pPr>
      <w:r>
        <w:t>Springer (2025). Retrieval-Augmented Generation (RAG). Business &amp; Information Systems Engineering.</w:t>
      </w:r>
    </w:p>
    <w:p>
      <w:pPr>
        <w:spacing w:after="80"/>
        <w:ind w:hanging="432" w:left="432"/>
      </w:pPr>
      <w:r>
        <w:t>Sridhara, S. et al. (2024). FACTS About Building Retrieval Augmented Generation-based Chatbots. arXiv preprint arXiv:2407.07858.</w:t>
      </w:r>
    </w:p>
    <w:p>
      <w:pPr>
        <w:spacing w:after="80"/>
        <w:ind w:hanging="432" w:left="432"/>
      </w:pPr>
      <w:r>
        <w:t>Trim, P. R. J. et Lee, Y.-I. (2008). A Strategic Approach to Sustainable Partnership Development. European Business Review, 20(3), 222-237.</w:t>
      </w:r>
    </w:p>
    <w:p>
      <w:pPr>
        <w:spacing w:after="80"/>
        <w:ind w:hanging="432" w:left="432"/>
      </w:pPr>
      <w:r>
        <w:t>Vaswani, A. et al. (2017). Attention Is All You Need. Advances in Neural Information Processing Systems, 30, 5998-6008.</w:t>
      </w:r>
    </w:p>
    <w:p>
      <w:pPr>
        <w:spacing w:after="80"/>
        <w:ind w:hanging="432" w:left="432"/>
      </w:pPr>
      <w:r>
        <w:t>Veturi et al. (2024). Enhancing LLM Performance with Organizational Data via RAG. In Springer Business &amp; Information Systems Engineering.</w:t>
      </w:r>
    </w:p>
    <w:p>
      <w:pPr>
        <w:spacing w:after="80"/>
        <w:ind w:hanging="432" w:left="432"/>
      </w:pPr>
      <w:r>
        <w:t>Ye, Z. et al. (2024). R2AG: Incorporating Retrieval Information into RAG. arXiv preprint.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