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2ABCE" w14:textId="495745E9" w:rsidR="003B3EEF" w:rsidRPr="003B3EEF" w:rsidRDefault="003B3EEF" w:rsidP="003B3EEF">
      <w:pPr>
        <w:jc w:val="center"/>
        <w:rPr>
          <w:rFonts w:ascii="Calibri" w:eastAsia="Microsoft YaHei" w:hAnsi="Calibri" w:cs="Calibri"/>
          <w:b/>
          <w:bCs/>
          <w:color w:val="000000"/>
          <w:sz w:val="28"/>
          <w:szCs w:val="28"/>
        </w:rPr>
      </w:pPr>
      <w:r w:rsidRPr="003B3EEF">
        <w:rPr>
          <w:rFonts w:ascii="Calibri" w:eastAsia="Microsoft YaHei" w:hAnsi="Calibri" w:cs="Calibri"/>
          <w:b/>
          <w:bCs/>
          <w:color w:val="000000"/>
          <w:sz w:val="28"/>
          <w:szCs w:val="28"/>
        </w:rPr>
        <w:t>Indice de corruption</w:t>
      </w:r>
    </w:p>
    <w:p w14:paraId="27FC8F87" w14:textId="6AED3BF9" w:rsidR="007152C6" w:rsidRPr="00A53848" w:rsidRDefault="007152C6" w:rsidP="00BB1053">
      <w:pPr>
        <w:rPr>
          <w:rFonts w:eastAsia="Microsoft YaHei" w:cstheme="minorHAnsi"/>
          <w:color w:val="000000"/>
        </w:rPr>
      </w:pPr>
      <w:r w:rsidRPr="00A53848">
        <w:rPr>
          <w:rFonts w:eastAsia="Microsoft YaHei" w:cstheme="minorHAnsi"/>
          <w:color w:val="000000"/>
        </w:rPr>
        <w:t>L’indice de corruption ou IPC note et classe les pays en fonction du degré de corruption présent dans le secteur public d’un pays tel qu’il est perçu par les experts et les chefs d’entreprise.</w:t>
      </w:r>
    </w:p>
    <w:p w14:paraId="74CA8436" w14:textId="76DB903F" w:rsidR="00BB1053" w:rsidRPr="00A53848" w:rsidRDefault="00E22F29" w:rsidP="00BB1053">
      <w:pPr>
        <w:rPr>
          <w:rFonts w:eastAsia="Microsoft YaHei" w:cstheme="minorHAnsi"/>
          <w:color w:val="000000"/>
        </w:rPr>
      </w:pPr>
      <w:r w:rsidRPr="00A53848">
        <w:rPr>
          <w:rFonts w:eastAsia="Microsoft YaHei" w:cstheme="minorHAnsi"/>
          <w:color w:val="000000"/>
        </w:rPr>
        <w:t xml:space="preserve">Dans l’indice de corruption, 13 sources de données qui décrivent un certain nombre de comportements corrompus dans le secteur public tels que le détournement de fonds public, le népotisme dans la fonction publique, l’utilisation de la fonction publique à des fins privées… Mais qui examinent également les mécanismes </w:t>
      </w:r>
      <w:r w:rsidR="007152C6" w:rsidRPr="00A53848">
        <w:rPr>
          <w:rFonts w:eastAsia="Microsoft YaHei" w:cstheme="minorHAnsi"/>
          <w:color w:val="000000"/>
        </w:rPr>
        <w:t>disponibles</w:t>
      </w:r>
      <w:r w:rsidRPr="00A53848">
        <w:rPr>
          <w:rFonts w:eastAsia="Microsoft YaHei" w:cstheme="minorHAnsi"/>
          <w:color w:val="000000"/>
        </w:rPr>
        <w:t xml:space="preserve"> pour prévenir la corruption dans un pays tels que la capacité du gouvernement à faire appliquer des mécanismes d’intégrité, la poursuite en justice efficace des fonctionnaires corrompus, l’existence de lois pertinentes sur la divulgation financière etc…</w:t>
      </w:r>
    </w:p>
    <w:tbl>
      <w:tblPr>
        <w:tblStyle w:val="Grilledutableau"/>
        <w:tblW w:w="0" w:type="auto"/>
        <w:tblLook w:val="04A0" w:firstRow="1" w:lastRow="0" w:firstColumn="1" w:lastColumn="0" w:noHBand="0" w:noVBand="1"/>
      </w:tblPr>
      <w:tblGrid>
        <w:gridCol w:w="3132"/>
        <w:gridCol w:w="3132"/>
        <w:gridCol w:w="3132"/>
      </w:tblGrid>
      <w:tr w:rsidR="00BB1053" w:rsidRPr="00A53848" w14:paraId="4E93AA73" w14:textId="77777777" w:rsidTr="00BB1053">
        <w:tc>
          <w:tcPr>
            <w:tcW w:w="3132" w:type="dxa"/>
          </w:tcPr>
          <w:p w14:paraId="1045F2ED" w14:textId="1B339ADB" w:rsidR="00BB1053" w:rsidRPr="00A53848" w:rsidRDefault="00BB1053" w:rsidP="003B3EEF">
            <w:pPr>
              <w:jc w:val="center"/>
              <w:rPr>
                <w:rFonts w:cstheme="minorHAnsi"/>
                <w:b/>
                <w:bCs/>
                <w:color w:val="FF0000"/>
              </w:rPr>
            </w:pPr>
            <w:r w:rsidRPr="00A53848">
              <w:rPr>
                <w:rFonts w:cstheme="minorHAnsi"/>
                <w:b/>
                <w:bCs/>
                <w:color w:val="FF0000"/>
              </w:rPr>
              <w:t>Données</w:t>
            </w:r>
          </w:p>
        </w:tc>
        <w:tc>
          <w:tcPr>
            <w:tcW w:w="3132" w:type="dxa"/>
          </w:tcPr>
          <w:p w14:paraId="66852851" w14:textId="02A05719" w:rsidR="00BB1053" w:rsidRPr="00A53848" w:rsidRDefault="00BB1053" w:rsidP="003B3EEF">
            <w:pPr>
              <w:jc w:val="center"/>
              <w:rPr>
                <w:rFonts w:cstheme="minorHAnsi"/>
                <w:b/>
                <w:bCs/>
                <w:color w:val="FF0000"/>
              </w:rPr>
            </w:pPr>
            <w:r w:rsidRPr="00A53848">
              <w:rPr>
                <w:rFonts w:cstheme="minorHAnsi"/>
                <w:b/>
                <w:bCs/>
                <w:color w:val="FF0000"/>
              </w:rPr>
              <w:t>Type d’évaluation</w:t>
            </w:r>
          </w:p>
        </w:tc>
        <w:tc>
          <w:tcPr>
            <w:tcW w:w="3132" w:type="dxa"/>
          </w:tcPr>
          <w:p w14:paraId="1D688A70" w14:textId="25C88220" w:rsidR="00BB1053" w:rsidRPr="00A53848" w:rsidRDefault="00BB1053" w:rsidP="003B3EEF">
            <w:pPr>
              <w:jc w:val="center"/>
              <w:rPr>
                <w:rFonts w:cstheme="minorHAnsi"/>
                <w:b/>
                <w:bCs/>
                <w:color w:val="FF0000"/>
              </w:rPr>
            </w:pPr>
            <w:r w:rsidRPr="00A53848">
              <w:rPr>
                <w:rFonts w:cstheme="minorHAnsi"/>
                <w:b/>
                <w:bCs/>
                <w:color w:val="FF0000"/>
              </w:rPr>
              <w:t>Fournisseur de données</w:t>
            </w:r>
          </w:p>
        </w:tc>
      </w:tr>
      <w:tr w:rsidR="00BB1053" w:rsidRPr="00A53848" w14:paraId="34C54D81" w14:textId="77777777" w:rsidTr="00BB1053">
        <w:tc>
          <w:tcPr>
            <w:tcW w:w="3132" w:type="dxa"/>
          </w:tcPr>
          <w:p w14:paraId="002ADB8C" w14:textId="1834D2CE" w:rsidR="00BB1053" w:rsidRPr="00A53848" w:rsidRDefault="00BB1053" w:rsidP="00A53848">
            <w:pPr>
              <w:jc w:val="center"/>
              <w:rPr>
                <w:rFonts w:cstheme="minorHAnsi"/>
              </w:rPr>
            </w:pPr>
            <w:r w:rsidRPr="00A53848">
              <w:rPr>
                <w:rFonts w:cstheme="minorHAnsi"/>
              </w:rPr>
              <w:t>Évaluation des politiques et des institutions des pays</w:t>
            </w:r>
          </w:p>
          <w:p w14:paraId="11FEEDB9" w14:textId="77777777" w:rsidR="00BB1053" w:rsidRPr="00A53848" w:rsidRDefault="00BB1053" w:rsidP="00A53848">
            <w:pPr>
              <w:jc w:val="center"/>
              <w:rPr>
                <w:rFonts w:cstheme="minorHAnsi"/>
              </w:rPr>
            </w:pPr>
          </w:p>
        </w:tc>
        <w:tc>
          <w:tcPr>
            <w:tcW w:w="3132" w:type="dxa"/>
          </w:tcPr>
          <w:p w14:paraId="7BF293EA" w14:textId="3D87DFC2" w:rsidR="00BB1053" w:rsidRPr="00A53848" w:rsidRDefault="00E22F29" w:rsidP="00A53848">
            <w:pPr>
              <w:jc w:val="center"/>
              <w:rPr>
                <w:rFonts w:cstheme="minorHAnsi"/>
              </w:rPr>
            </w:pPr>
            <w:r w:rsidRPr="00A53848">
              <w:rPr>
                <w:rFonts w:cstheme="minorHAnsi"/>
              </w:rPr>
              <w:t>Evaluations d’experts</w:t>
            </w:r>
          </w:p>
        </w:tc>
        <w:tc>
          <w:tcPr>
            <w:tcW w:w="3132" w:type="dxa"/>
          </w:tcPr>
          <w:p w14:paraId="242183AD" w14:textId="0267046D" w:rsidR="00BB1053" w:rsidRPr="00A53848" w:rsidRDefault="00E22F29" w:rsidP="00A53848">
            <w:pPr>
              <w:jc w:val="center"/>
              <w:rPr>
                <w:rFonts w:cstheme="minorHAnsi"/>
              </w:rPr>
            </w:pPr>
            <w:r w:rsidRPr="00A53848">
              <w:rPr>
                <w:rFonts w:cstheme="minorHAnsi"/>
              </w:rPr>
              <w:t>Banque africaine de développement</w:t>
            </w:r>
          </w:p>
        </w:tc>
      </w:tr>
      <w:tr w:rsidR="00E22F29" w:rsidRPr="00A53848" w14:paraId="1471E3AF" w14:textId="77777777" w:rsidTr="00BB1053">
        <w:tc>
          <w:tcPr>
            <w:tcW w:w="3132" w:type="dxa"/>
          </w:tcPr>
          <w:p w14:paraId="1548DE52" w14:textId="209FF4CA" w:rsidR="00E22F29" w:rsidRPr="00A53848" w:rsidRDefault="00E22F29" w:rsidP="00A53848">
            <w:pPr>
              <w:jc w:val="center"/>
              <w:rPr>
                <w:rFonts w:cstheme="minorHAnsi"/>
              </w:rPr>
            </w:pPr>
            <w:r w:rsidRPr="00A53848">
              <w:rPr>
                <w:rFonts w:cstheme="minorHAnsi"/>
              </w:rPr>
              <w:t>Indicateurs de gouvernance durable</w:t>
            </w:r>
          </w:p>
          <w:p w14:paraId="103B168C" w14:textId="77777777" w:rsidR="00E22F29" w:rsidRPr="00A53848" w:rsidRDefault="00E22F29" w:rsidP="00A53848">
            <w:pPr>
              <w:jc w:val="center"/>
              <w:rPr>
                <w:rFonts w:cstheme="minorHAnsi"/>
              </w:rPr>
            </w:pPr>
          </w:p>
        </w:tc>
        <w:tc>
          <w:tcPr>
            <w:tcW w:w="3132" w:type="dxa"/>
          </w:tcPr>
          <w:p w14:paraId="45DCB3AE" w14:textId="337E9EA8" w:rsidR="00E22F29" w:rsidRPr="00A53848" w:rsidRDefault="00E22F29" w:rsidP="00A53848">
            <w:pPr>
              <w:jc w:val="center"/>
              <w:rPr>
                <w:rFonts w:cstheme="minorHAnsi"/>
              </w:rPr>
            </w:pPr>
            <w:r w:rsidRPr="00A53848">
              <w:rPr>
                <w:rFonts w:cstheme="minorHAnsi"/>
              </w:rPr>
              <w:t>Regroupement de données quantitatives et d’évaluations qualitatives par des experts</w:t>
            </w:r>
          </w:p>
        </w:tc>
        <w:tc>
          <w:tcPr>
            <w:tcW w:w="3132" w:type="dxa"/>
          </w:tcPr>
          <w:p w14:paraId="3EE5E43E" w14:textId="69B6A0A3" w:rsidR="00E22F29" w:rsidRPr="00A53848" w:rsidRDefault="00E22F29" w:rsidP="00A53848">
            <w:pPr>
              <w:jc w:val="center"/>
              <w:rPr>
                <w:rFonts w:cstheme="minorHAnsi"/>
              </w:rPr>
            </w:pPr>
            <w:proofErr w:type="spellStart"/>
            <w:r w:rsidRPr="00A53848">
              <w:rPr>
                <w:rFonts w:cstheme="minorHAnsi"/>
              </w:rPr>
              <w:t>Berterlsmann</w:t>
            </w:r>
            <w:proofErr w:type="spellEnd"/>
            <w:r w:rsidRPr="00A53848">
              <w:rPr>
                <w:rFonts w:cstheme="minorHAnsi"/>
              </w:rPr>
              <w:t xml:space="preserve"> </w:t>
            </w:r>
            <w:proofErr w:type="spellStart"/>
            <w:r w:rsidRPr="00A53848">
              <w:rPr>
                <w:rFonts w:cstheme="minorHAnsi"/>
              </w:rPr>
              <w:t>Stiftung</w:t>
            </w:r>
            <w:proofErr w:type="spellEnd"/>
          </w:p>
        </w:tc>
      </w:tr>
      <w:tr w:rsidR="00E22F29" w:rsidRPr="00A53848" w14:paraId="79082BA6" w14:textId="77777777" w:rsidTr="00BB1053">
        <w:tc>
          <w:tcPr>
            <w:tcW w:w="3132" w:type="dxa"/>
          </w:tcPr>
          <w:p w14:paraId="4F141F82" w14:textId="1BCA2671" w:rsidR="00E22F29" w:rsidRPr="00A53848" w:rsidRDefault="00E22F29" w:rsidP="00A53848">
            <w:pPr>
              <w:jc w:val="center"/>
              <w:rPr>
                <w:rFonts w:cstheme="minorHAnsi"/>
              </w:rPr>
            </w:pPr>
            <w:r w:rsidRPr="00A53848">
              <w:rPr>
                <w:rFonts w:cstheme="minorHAnsi"/>
              </w:rPr>
              <w:t>Indice de transformation</w:t>
            </w:r>
          </w:p>
          <w:p w14:paraId="70387D26" w14:textId="77777777" w:rsidR="00E22F29" w:rsidRPr="00A53848" w:rsidRDefault="00E22F29" w:rsidP="00A53848">
            <w:pPr>
              <w:jc w:val="center"/>
              <w:rPr>
                <w:rFonts w:cstheme="minorHAnsi"/>
              </w:rPr>
            </w:pPr>
          </w:p>
        </w:tc>
        <w:tc>
          <w:tcPr>
            <w:tcW w:w="3132" w:type="dxa"/>
          </w:tcPr>
          <w:p w14:paraId="42260D12" w14:textId="1B99727E" w:rsidR="00E22F29" w:rsidRPr="00A53848" w:rsidRDefault="00E22F29" w:rsidP="00A53848">
            <w:pPr>
              <w:jc w:val="center"/>
              <w:rPr>
                <w:rFonts w:cstheme="minorHAnsi"/>
              </w:rPr>
            </w:pPr>
            <w:r w:rsidRPr="00A53848">
              <w:rPr>
                <w:rFonts w:cstheme="minorHAnsi"/>
              </w:rPr>
              <w:t>Enquêtes qualitatives auprès d’experts</w:t>
            </w:r>
          </w:p>
        </w:tc>
        <w:tc>
          <w:tcPr>
            <w:tcW w:w="3132" w:type="dxa"/>
          </w:tcPr>
          <w:p w14:paraId="48D04587" w14:textId="4075B505" w:rsidR="00E22F29" w:rsidRPr="00A53848" w:rsidRDefault="00E22F29" w:rsidP="00A53848">
            <w:pPr>
              <w:jc w:val="center"/>
              <w:rPr>
                <w:rFonts w:cstheme="minorHAnsi"/>
              </w:rPr>
            </w:pPr>
            <w:proofErr w:type="spellStart"/>
            <w:r w:rsidRPr="00A53848">
              <w:rPr>
                <w:rFonts w:cstheme="minorHAnsi"/>
              </w:rPr>
              <w:t>Berterlsmann</w:t>
            </w:r>
            <w:proofErr w:type="spellEnd"/>
            <w:r w:rsidRPr="00A53848">
              <w:rPr>
                <w:rFonts w:cstheme="minorHAnsi"/>
              </w:rPr>
              <w:t xml:space="preserve"> </w:t>
            </w:r>
            <w:proofErr w:type="spellStart"/>
            <w:r w:rsidRPr="00A53848">
              <w:rPr>
                <w:rFonts w:cstheme="minorHAnsi"/>
              </w:rPr>
              <w:t>Stiftung</w:t>
            </w:r>
            <w:proofErr w:type="spellEnd"/>
          </w:p>
        </w:tc>
      </w:tr>
      <w:tr w:rsidR="00E22F29" w:rsidRPr="00A53848" w14:paraId="01205B83" w14:textId="77777777" w:rsidTr="00BB1053">
        <w:tc>
          <w:tcPr>
            <w:tcW w:w="3132" w:type="dxa"/>
          </w:tcPr>
          <w:p w14:paraId="71F32C09" w14:textId="06322884" w:rsidR="00E22F29" w:rsidRPr="00A53848" w:rsidRDefault="00E22F29" w:rsidP="00A53848">
            <w:pPr>
              <w:jc w:val="center"/>
              <w:rPr>
                <w:rFonts w:cstheme="minorHAnsi"/>
              </w:rPr>
            </w:pPr>
            <w:r w:rsidRPr="00A53848">
              <w:rPr>
                <w:rFonts w:cstheme="minorHAnsi"/>
              </w:rPr>
              <w:t>Service des risques pays</w:t>
            </w:r>
          </w:p>
          <w:p w14:paraId="497F76D1" w14:textId="77777777" w:rsidR="00E22F29" w:rsidRPr="00A53848" w:rsidRDefault="00E22F29" w:rsidP="00A53848">
            <w:pPr>
              <w:jc w:val="center"/>
              <w:rPr>
                <w:rFonts w:cstheme="minorHAnsi"/>
              </w:rPr>
            </w:pPr>
          </w:p>
        </w:tc>
        <w:tc>
          <w:tcPr>
            <w:tcW w:w="3132" w:type="dxa"/>
          </w:tcPr>
          <w:p w14:paraId="39FDFEFA" w14:textId="06EBDFC5" w:rsidR="00E22F29" w:rsidRPr="00A53848" w:rsidRDefault="00E22F29" w:rsidP="00A53848">
            <w:pPr>
              <w:jc w:val="center"/>
              <w:rPr>
                <w:rFonts w:cstheme="minorHAnsi"/>
              </w:rPr>
            </w:pPr>
            <w:r w:rsidRPr="00A53848">
              <w:rPr>
                <w:rFonts w:cstheme="minorHAnsi"/>
              </w:rPr>
              <w:t>Evaluations des risques fondés sur des indicateurs</w:t>
            </w:r>
            <w:r w:rsidRPr="00A53848">
              <w:rPr>
                <w:rFonts w:cstheme="minorHAnsi"/>
              </w:rPr>
              <w:t xml:space="preserve"> </w:t>
            </w:r>
            <w:r w:rsidRPr="00A53848">
              <w:rPr>
                <w:rFonts w:cstheme="minorHAnsi"/>
              </w:rPr>
              <w:t>qualitatifs</w:t>
            </w:r>
            <w:r w:rsidRPr="00A53848">
              <w:rPr>
                <w:rFonts w:cstheme="minorHAnsi"/>
              </w:rPr>
              <w:t xml:space="preserve"> et quantitati</w:t>
            </w:r>
            <w:r w:rsidRPr="00A53848">
              <w:rPr>
                <w:rFonts w:cstheme="minorHAnsi"/>
              </w:rPr>
              <w:t>fs</w:t>
            </w:r>
          </w:p>
        </w:tc>
        <w:tc>
          <w:tcPr>
            <w:tcW w:w="3132" w:type="dxa"/>
          </w:tcPr>
          <w:p w14:paraId="602B887F" w14:textId="4633B0E3" w:rsidR="00E22F29" w:rsidRPr="00A53848" w:rsidRDefault="00E22F29" w:rsidP="00A53848">
            <w:pPr>
              <w:jc w:val="center"/>
              <w:rPr>
                <w:rFonts w:cstheme="minorHAnsi"/>
              </w:rPr>
            </w:pPr>
            <w:r w:rsidRPr="00A53848">
              <w:rPr>
                <w:rFonts w:cstheme="minorHAnsi"/>
              </w:rPr>
              <w:t>Economist Intelligence Unit</w:t>
            </w:r>
          </w:p>
        </w:tc>
      </w:tr>
      <w:tr w:rsidR="00E22F29" w:rsidRPr="00A53848" w14:paraId="4670F26F" w14:textId="77777777" w:rsidTr="00BB1053">
        <w:tc>
          <w:tcPr>
            <w:tcW w:w="3132" w:type="dxa"/>
          </w:tcPr>
          <w:p w14:paraId="5F5D29AC" w14:textId="46895B4B" w:rsidR="00E22F29" w:rsidRPr="00A53848" w:rsidRDefault="00E22F29" w:rsidP="00A53848">
            <w:pPr>
              <w:jc w:val="center"/>
              <w:rPr>
                <w:rFonts w:cstheme="minorHAnsi"/>
              </w:rPr>
            </w:pPr>
            <w:r w:rsidRPr="00A53848">
              <w:rPr>
                <w:rFonts w:cstheme="minorHAnsi"/>
              </w:rPr>
              <w:t>Rapports du projet de recherche Nations en transition</w:t>
            </w:r>
          </w:p>
          <w:p w14:paraId="51636F3B" w14:textId="77777777" w:rsidR="00E22F29" w:rsidRPr="00A53848" w:rsidRDefault="00E22F29" w:rsidP="00A53848">
            <w:pPr>
              <w:jc w:val="center"/>
              <w:rPr>
                <w:rFonts w:cstheme="minorHAnsi"/>
              </w:rPr>
            </w:pPr>
          </w:p>
        </w:tc>
        <w:tc>
          <w:tcPr>
            <w:tcW w:w="3132" w:type="dxa"/>
          </w:tcPr>
          <w:p w14:paraId="6EAEFE94" w14:textId="67CCD85A" w:rsidR="00E22F29" w:rsidRPr="00A53848" w:rsidRDefault="00E22F29" w:rsidP="00A53848">
            <w:pPr>
              <w:jc w:val="center"/>
              <w:rPr>
                <w:rFonts w:cstheme="minorHAnsi"/>
              </w:rPr>
            </w:pPr>
            <w:r w:rsidRPr="00A53848">
              <w:rPr>
                <w:rFonts w:cstheme="minorHAnsi"/>
              </w:rPr>
              <w:t>Evaluation qualitative d’experts</w:t>
            </w:r>
          </w:p>
        </w:tc>
        <w:tc>
          <w:tcPr>
            <w:tcW w:w="3132" w:type="dxa"/>
          </w:tcPr>
          <w:p w14:paraId="4A695865" w14:textId="5AF8EEB3" w:rsidR="00E22F29" w:rsidRPr="00A53848" w:rsidRDefault="00E22F29" w:rsidP="00A53848">
            <w:pPr>
              <w:jc w:val="center"/>
              <w:rPr>
                <w:rFonts w:cstheme="minorHAnsi"/>
              </w:rPr>
            </w:pPr>
            <w:r w:rsidRPr="00A53848">
              <w:rPr>
                <w:rFonts w:cstheme="minorHAnsi"/>
              </w:rPr>
              <w:t>Freedom House</w:t>
            </w:r>
          </w:p>
        </w:tc>
      </w:tr>
      <w:tr w:rsidR="00E22F29" w:rsidRPr="00A53848" w14:paraId="7059FB44" w14:textId="77777777" w:rsidTr="00BB1053">
        <w:tc>
          <w:tcPr>
            <w:tcW w:w="3132" w:type="dxa"/>
          </w:tcPr>
          <w:p w14:paraId="76115AB2" w14:textId="2DCDB037" w:rsidR="00E22F29" w:rsidRPr="00A53848" w:rsidRDefault="00E22F29" w:rsidP="00A53848">
            <w:pPr>
              <w:jc w:val="center"/>
              <w:rPr>
                <w:rFonts w:cstheme="minorHAnsi"/>
              </w:rPr>
            </w:pPr>
            <w:r w:rsidRPr="00A53848">
              <w:rPr>
                <w:rFonts w:cstheme="minorHAnsi"/>
              </w:rPr>
              <w:t>Indicateurs des conditions économiques et de risque</w:t>
            </w:r>
          </w:p>
        </w:tc>
        <w:tc>
          <w:tcPr>
            <w:tcW w:w="3132" w:type="dxa"/>
          </w:tcPr>
          <w:p w14:paraId="12D15EB8" w14:textId="68CA0EFB" w:rsidR="00E22F29" w:rsidRPr="00A53848" w:rsidRDefault="00E22F29" w:rsidP="00A53848">
            <w:pPr>
              <w:jc w:val="center"/>
              <w:rPr>
                <w:rFonts w:cstheme="minorHAnsi"/>
              </w:rPr>
            </w:pPr>
            <w:r w:rsidRPr="00A53848">
              <w:rPr>
                <w:rFonts w:cstheme="minorHAnsi"/>
              </w:rPr>
              <w:t>Evaluation des affaires commerciales par des experts</w:t>
            </w:r>
          </w:p>
        </w:tc>
        <w:tc>
          <w:tcPr>
            <w:tcW w:w="3132" w:type="dxa"/>
          </w:tcPr>
          <w:p w14:paraId="052B7CA8" w14:textId="6073A78F" w:rsidR="00E22F29" w:rsidRPr="00A53848" w:rsidRDefault="00E22F29" w:rsidP="00A53848">
            <w:pPr>
              <w:jc w:val="center"/>
              <w:rPr>
                <w:rFonts w:cstheme="minorHAnsi"/>
                <w:lang w:val="en-US"/>
              </w:rPr>
            </w:pPr>
            <w:r w:rsidRPr="00A53848">
              <w:rPr>
                <w:rFonts w:cstheme="minorHAnsi"/>
                <w:lang w:val="en-US"/>
              </w:rPr>
              <w:t>IHS Global insight, Global Risk Service</w:t>
            </w:r>
          </w:p>
        </w:tc>
      </w:tr>
      <w:tr w:rsidR="00E22F29" w:rsidRPr="00A53848" w14:paraId="1132D86B" w14:textId="77777777" w:rsidTr="00BB1053">
        <w:tc>
          <w:tcPr>
            <w:tcW w:w="3132" w:type="dxa"/>
          </w:tcPr>
          <w:p w14:paraId="47094F6C" w14:textId="2AADB0C4" w:rsidR="00E22F29" w:rsidRPr="00A53848" w:rsidRDefault="00E22F29" w:rsidP="00A53848">
            <w:pPr>
              <w:jc w:val="center"/>
              <w:rPr>
                <w:rFonts w:cstheme="minorHAnsi"/>
              </w:rPr>
            </w:pPr>
            <w:r w:rsidRPr="00A53848">
              <w:rPr>
                <w:rFonts w:cstheme="minorHAnsi"/>
              </w:rPr>
              <w:t>Rapport annuel sur la compétitivité mondiale d’IMD</w:t>
            </w:r>
          </w:p>
        </w:tc>
        <w:tc>
          <w:tcPr>
            <w:tcW w:w="3132" w:type="dxa"/>
          </w:tcPr>
          <w:p w14:paraId="4B38B57B" w14:textId="64631329" w:rsidR="00E22F29" w:rsidRPr="00A53848" w:rsidRDefault="00E22F29" w:rsidP="00A53848">
            <w:pPr>
              <w:jc w:val="center"/>
              <w:rPr>
                <w:rFonts w:cstheme="minorHAnsi"/>
              </w:rPr>
            </w:pPr>
            <w:r w:rsidRPr="00A53848">
              <w:rPr>
                <w:rFonts w:cstheme="minorHAnsi"/>
              </w:rPr>
              <w:t>Enquête d’opinion auprès des dirigeants</w:t>
            </w:r>
          </w:p>
        </w:tc>
        <w:tc>
          <w:tcPr>
            <w:tcW w:w="3132" w:type="dxa"/>
          </w:tcPr>
          <w:p w14:paraId="599701F4" w14:textId="6F250E8D" w:rsidR="00E22F29" w:rsidRPr="00A53848" w:rsidRDefault="00E22F29" w:rsidP="00A53848">
            <w:pPr>
              <w:jc w:val="center"/>
              <w:rPr>
                <w:rFonts w:cstheme="minorHAnsi"/>
              </w:rPr>
            </w:pPr>
            <w:r w:rsidRPr="00A53848">
              <w:rPr>
                <w:rFonts w:cstheme="minorHAnsi"/>
              </w:rPr>
              <w:t>Centre de la compétitivité mondiale de l’IMD</w:t>
            </w:r>
          </w:p>
        </w:tc>
      </w:tr>
      <w:tr w:rsidR="00E22F29" w:rsidRPr="00A53848" w14:paraId="11469203" w14:textId="77777777" w:rsidTr="00BB1053">
        <w:tc>
          <w:tcPr>
            <w:tcW w:w="3132" w:type="dxa"/>
          </w:tcPr>
          <w:p w14:paraId="3FD0D9B1" w14:textId="47E3026E" w:rsidR="00E22F29" w:rsidRPr="00A53848" w:rsidRDefault="00E22F29" w:rsidP="00A53848">
            <w:pPr>
              <w:jc w:val="center"/>
              <w:rPr>
                <w:rFonts w:cstheme="minorHAnsi"/>
                <w:lang w:val="en-US"/>
              </w:rPr>
            </w:pPr>
            <w:r w:rsidRPr="00A53848">
              <w:rPr>
                <w:rFonts w:cstheme="minorHAnsi"/>
                <w:lang w:val="en-US"/>
              </w:rPr>
              <w:t>Political and Economic Risk Consultancy</w:t>
            </w:r>
          </w:p>
          <w:p w14:paraId="27E9C883" w14:textId="77777777" w:rsidR="00E22F29" w:rsidRPr="00A53848" w:rsidRDefault="00E22F29" w:rsidP="00A53848">
            <w:pPr>
              <w:jc w:val="center"/>
              <w:rPr>
                <w:rFonts w:cstheme="minorHAnsi"/>
              </w:rPr>
            </w:pPr>
          </w:p>
        </w:tc>
        <w:tc>
          <w:tcPr>
            <w:tcW w:w="3132" w:type="dxa"/>
          </w:tcPr>
          <w:p w14:paraId="4EBE06CE" w14:textId="6AE11D6F" w:rsidR="00E22F29" w:rsidRPr="00A53848" w:rsidRDefault="00E22F29" w:rsidP="00A53848">
            <w:pPr>
              <w:jc w:val="center"/>
              <w:rPr>
                <w:rFonts w:cstheme="minorHAnsi"/>
              </w:rPr>
            </w:pPr>
            <w:r w:rsidRPr="00A53848">
              <w:rPr>
                <w:rFonts w:cstheme="minorHAnsi"/>
              </w:rPr>
              <w:t>Enquête d’opinion auprès des dirigeants</w:t>
            </w:r>
          </w:p>
        </w:tc>
        <w:tc>
          <w:tcPr>
            <w:tcW w:w="3132" w:type="dxa"/>
          </w:tcPr>
          <w:p w14:paraId="6B17F608" w14:textId="5933259B" w:rsidR="00E22F29" w:rsidRPr="00A53848" w:rsidRDefault="00E22F29" w:rsidP="00A53848">
            <w:pPr>
              <w:jc w:val="center"/>
              <w:rPr>
                <w:rFonts w:cstheme="minorHAnsi"/>
                <w:lang w:val="en-US"/>
              </w:rPr>
            </w:pPr>
            <w:r w:rsidRPr="00A53848">
              <w:rPr>
                <w:rFonts w:cstheme="minorHAnsi"/>
                <w:lang w:val="en-US"/>
              </w:rPr>
              <w:t>Political and Economic Risk Consultancy</w:t>
            </w:r>
          </w:p>
        </w:tc>
      </w:tr>
      <w:tr w:rsidR="00E22F29" w:rsidRPr="00A53848" w14:paraId="43A97343" w14:textId="77777777" w:rsidTr="00BB1053">
        <w:tc>
          <w:tcPr>
            <w:tcW w:w="3132" w:type="dxa"/>
          </w:tcPr>
          <w:p w14:paraId="5B5C2F5E" w14:textId="1A3695EF" w:rsidR="00E22F29" w:rsidRPr="00A53848" w:rsidRDefault="00E22F29" w:rsidP="00A53848">
            <w:pPr>
              <w:jc w:val="center"/>
              <w:rPr>
                <w:rFonts w:cstheme="minorHAnsi"/>
              </w:rPr>
            </w:pPr>
            <w:r w:rsidRPr="00A53848">
              <w:rPr>
                <w:rFonts w:cstheme="minorHAnsi"/>
              </w:rPr>
              <w:t>Guide international sur les risques pays</w:t>
            </w:r>
          </w:p>
        </w:tc>
        <w:tc>
          <w:tcPr>
            <w:tcW w:w="3132" w:type="dxa"/>
          </w:tcPr>
          <w:p w14:paraId="7A91FE6A" w14:textId="3B22B782" w:rsidR="00E22F29" w:rsidRPr="00A53848" w:rsidRDefault="00E22F29" w:rsidP="00A53848">
            <w:pPr>
              <w:jc w:val="center"/>
              <w:rPr>
                <w:rFonts w:cstheme="minorHAnsi"/>
              </w:rPr>
            </w:pPr>
            <w:r w:rsidRPr="00A53848">
              <w:rPr>
                <w:rFonts w:cstheme="minorHAnsi"/>
              </w:rPr>
              <w:t>Evaluation des risques</w:t>
            </w:r>
          </w:p>
        </w:tc>
        <w:tc>
          <w:tcPr>
            <w:tcW w:w="3132" w:type="dxa"/>
          </w:tcPr>
          <w:p w14:paraId="4DDA1D78" w14:textId="56E101F4" w:rsidR="00E22F29" w:rsidRPr="00A53848" w:rsidRDefault="00E22F29" w:rsidP="00A53848">
            <w:pPr>
              <w:jc w:val="center"/>
              <w:rPr>
                <w:rFonts w:cstheme="minorHAnsi"/>
              </w:rPr>
            </w:pPr>
            <w:r w:rsidRPr="00A53848">
              <w:rPr>
                <w:rFonts w:cstheme="minorHAnsi"/>
              </w:rPr>
              <w:t>PRS Group</w:t>
            </w:r>
          </w:p>
        </w:tc>
      </w:tr>
      <w:tr w:rsidR="00E22F29" w:rsidRPr="00A53848" w14:paraId="22A2F0E7" w14:textId="77777777" w:rsidTr="00BB1053">
        <w:tc>
          <w:tcPr>
            <w:tcW w:w="3132" w:type="dxa"/>
          </w:tcPr>
          <w:p w14:paraId="56B7B60B" w14:textId="3DE6CD38" w:rsidR="00E22F29" w:rsidRPr="00A53848" w:rsidRDefault="00E22F29" w:rsidP="00A53848">
            <w:pPr>
              <w:jc w:val="center"/>
              <w:rPr>
                <w:rFonts w:cstheme="minorHAnsi"/>
              </w:rPr>
            </w:pPr>
            <w:r w:rsidRPr="00A53848">
              <w:rPr>
                <w:rFonts w:cstheme="minorHAnsi"/>
              </w:rPr>
              <w:t>Évaluation des politiques et des institutions des pays</w:t>
            </w:r>
          </w:p>
        </w:tc>
        <w:tc>
          <w:tcPr>
            <w:tcW w:w="3132" w:type="dxa"/>
          </w:tcPr>
          <w:p w14:paraId="60CFA2A1" w14:textId="5A5BB2C3" w:rsidR="00E22F29" w:rsidRPr="00A53848" w:rsidRDefault="00E22F29" w:rsidP="00A53848">
            <w:pPr>
              <w:jc w:val="center"/>
              <w:rPr>
                <w:rFonts w:cstheme="minorHAnsi"/>
              </w:rPr>
            </w:pPr>
            <w:r w:rsidRPr="00A53848">
              <w:rPr>
                <w:rFonts w:cstheme="minorHAnsi"/>
              </w:rPr>
              <w:t>Evaluation d’experts</w:t>
            </w:r>
          </w:p>
        </w:tc>
        <w:tc>
          <w:tcPr>
            <w:tcW w:w="3132" w:type="dxa"/>
          </w:tcPr>
          <w:p w14:paraId="189EE424" w14:textId="0AE5BF61" w:rsidR="00E22F29" w:rsidRPr="00A53848" w:rsidRDefault="00E22F29" w:rsidP="00A53848">
            <w:pPr>
              <w:jc w:val="center"/>
              <w:rPr>
                <w:rFonts w:cstheme="minorHAnsi"/>
              </w:rPr>
            </w:pPr>
            <w:r w:rsidRPr="00A53848">
              <w:rPr>
                <w:rFonts w:cstheme="minorHAnsi"/>
              </w:rPr>
              <w:t>Banque mondiale</w:t>
            </w:r>
          </w:p>
        </w:tc>
      </w:tr>
      <w:tr w:rsidR="00E22F29" w:rsidRPr="00A53848" w14:paraId="1DB55C08" w14:textId="77777777" w:rsidTr="00BB1053">
        <w:tc>
          <w:tcPr>
            <w:tcW w:w="3132" w:type="dxa"/>
          </w:tcPr>
          <w:p w14:paraId="14279FE1" w14:textId="2AEBAC3B" w:rsidR="00E22F29" w:rsidRPr="00A53848" w:rsidRDefault="00E22F29" w:rsidP="00A53848">
            <w:pPr>
              <w:jc w:val="center"/>
              <w:rPr>
                <w:rFonts w:cstheme="minorHAnsi"/>
              </w:rPr>
            </w:pPr>
            <w:r w:rsidRPr="00A53848">
              <w:rPr>
                <w:rFonts w:cstheme="minorHAnsi"/>
              </w:rPr>
              <w:t>Enquête d’opinion auprès de cadres</w:t>
            </w:r>
          </w:p>
          <w:p w14:paraId="60008DC1" w14:textId="77777777" w:rsidR="00E22F29" w:rsidRPr="00A53848" w:rsidRDefault="00E22F29" w:rsidP="00A53848">
            <w:pPr>
              <w:jc w:val="center"/>
              <w:rPr>
                <w:rFonts w:cstheme="minorHAnsi"/>
              </w:rPr>
            </w:pPr>
          </w:p>
        </w:tc>
        <w:tc>
          <w:tcPr>
            <w:tcW w:w="3132" w:type="dxa"/>
          </w:tcPr>
          <w:p w14:paraId="104B1C07" w14:textId="2E3B0B8E" w:rsidR="00E22F29" w:rsidRPr="00A53848" w:rsidRDefault="00E22F29" w:rsidP="00A53848">
            <w:pPr>
              <w:jc w:val="center"/>
              <w:rPr>
                <w:rFonts w:cstheme="minorHAnsi"/>
              </w:rPr>
            </w:pPr>
            <w:r w:rsidRPr="00A53848">
              <w:rPr>
                <w:rFonts w:cstheme="minorHAnsi"/>
              </w:rPr>
              <w:t>Enquête auprès de cadre dirigeants</w:t>
            </w:r>
          </w:p>
        </w:tc>
        <w:tc>
          <w:tcPr>
            <w:tcW w:w="3132" w:type="dxa"/>
          </w:tcPr>
          <w:p w14:paraId="2C7EF623" w14:textId="0575D68D" w:rsidR="00E22F29" w:rsidRPr="00A53848" w:rsidRDefault="00E22F29" w:rsidP="00A53848">
            <w:pPr>
              <w:jc w:val="center"/>
              <w:rPr>
                <w:rFonts w:cstheme="minorHAnsi"/>
              </w:rPr>
            </w:pPr>
            <w:r w:rsidRPr="00A53848">
              <w:rPr>
                <w:rFonts w:cstheme="minorHAnsi"/>
              </w:rPr>
              <w:t>Forum économique mondial</w:t>
            </w:r>
          </w:p>
        </w:tc>
      </w:tr>
      <w:tr w:rsidR="00E22F29" w:rsidRPr="00A53848" w14:paraId="22836A01" w14:textId="77777777" w:rsidTr="00BB1053">
        <w:tc>
          <w:tcPr>
            <w:tcW w:w="3132" w:type="dxa"/>
          </w:tcPr>
          <w:p w14:paraId="5198650A" w14:textId="4324E909" w:rsidR="00E22F29" w:rsidRPr="00A53848" w:rsidRDefault="00E22F29" w:rsidP="00A53848">
            <w:pPr>
              <w:jc w:val="center"/>
              <w:rPr>
                <w:rFonts w:cstheme="minorHAnsi"/>
              </w:rPr>
            </w:pPr>
            <w:r w:rsidRPr="00A53848">
              <w:rPr>
                <w:rFonts w:cstheme="minorHAnsi"/>
              </w:rPr>
              <w:t>Indice de l’État de droit</w:t>
            </w:r>
          </w:p>
        </w:tc>
        <w:tc>
          <w:tcPr>
            <w:tcW w:w="3132" w:type="dxa"/>
          </w:tcPr>
          <w:p w14:paraId="5E690B12" w14:textId="7A0CC9F2" w:rsidR="00E22F29" w:rsidRPr="00A53848" w:rsidRDefault="00E22F29" w:rsidP="00A53848">
            <w:pPr>
              <w:jc w:val="center"/>
              <w:rPr>
                <w:rFonts w:cstheme="minorHAnsi"/>
              </w:rPr>
            </w:pPr>
            <w:r w:rsidRPr="00A53848">
              <w:rPr>
                <w:rFonts w:cstheme="minorHAnsi"/>
              </w:rPr>
              <w:t>Enquête d’expert</w:t>
            </w:r>
          </w:p>
        </w:tc>
        <w:tc>
          <w:tcPr>
            <w:tcW w:w="3132" w:type="dxa"/>
          </w:tcPr>
          <w:p w14:paraId="7EDA9497" w14:textId="57AC3449" w:rsidR="00E22F29" w:rsidRPr="00A53848" w:rsidRDefault="00E22F29" w:rsidP="00A53848">
            <w:pPr>
              <w:jc w:val="center"/>
              <w:rPr>
                <w:rFonts w:cstheme="minorHAnsi"/>
              </w:rPr>
            </w:pPr>
            <w:r w:rsidRPr="00A53848">
              <w:rPr>
                <w:rFonts w:cstheme="minorHAnsi"/>
              </w:rPr>
              <w:t>Projet de justice mondiale</w:t>
            </w:r>
          </w:p>
        </w:tc>
      </w:tr>
      <w:tr w:rsidR="00E22F29" w:rsidRPr="00A53848" w14:paraId="5B162171" w14:textId="77777777" w:rsidTr="00BB1053">
        <w:tc>
          <w:tcPr>
            <w:tcW w:w="3132" w:type="dxa"/>
          </w:tcPr>
          <w:p w14:paraId="7EDBC40E" w14:textId="045EB99A" w:rsidR="00E22F29" w:rsidRPr="00A53848" w:rsidRDefault="00E22F29" w:rsidP="00A53848">
            <w:pPr>
              <w:jc w:val="center"/>
              <w:rPr>
                <w:rFonts w:cstheme="minorHAnsi"/>
              </w:rPr>
            </w:pPr>
            <w:r w:rsidRPr="00A53848">
              <w:rPr>
                <w:rFonts w:cstheme="minorHAnsi"/>
              </w:rPr>
              <w:t>Projet Variétés de démocraties</w:t>
            </w:r>
          </w:p>
          <w:p w14:paraId="7566AF7F" w14:textId="77777777" w:rsidR="00E22F29" w:rsidRPr="00A53848" w:rsidRDefault="00E22F29" w:rsidP="00A53848">
            <w:pPr>
              <w:jc w:val="center"/>
              <w:rPr>
                <w:rFonts w:cstheme="minorHAnsi"/>
              </w:rPr>
            </w:pPr>
          </w:p>
        </w:tc>
        <w:tc>
          <w:tcPr>
            <w:tcW w:w="3132" w:type="dxa"/>
          </w:tcPr>
          <w:p w14:paraId="7F679F3B" w14:textId="4102FDB2" w:rsidR="00E22F29" w:rsidRPr="00A53848" w:rsidRDefault="00E22F29" w:rsidP="00A53848">
            <w:pPr>
              <w:jc w:val="center"/>
              <w:rPr>
                <w:rFonts w:cstheme="minorHAnsi"/>
              </w:rPr>
            </w:pPr>
            <w:r w:rsidRPr="00A53848">
              <w:rPr>
                <w:rFonts w:cstheme="minorHAnsi"/>
              </w:rPr>
              <w:t>Enquête d’expert</w:t>
            </w:r>
          </w:p>
        </w:tc>
        <w:tc>
          <w:tcPr>
            <w:tcW w:w="3132" w:type="dxa"/>
          </w:tcPr>
          <w:p w14:paraId="4554A3A1" w14:textId="3AE47417" w:rsidR="00E22F29" w:rsidRPr="00A53848" w:rsidRDefault="00E22F29" w:rsidP="00A53848">
            <w:pPr>
              <w:jc w:val="center"/>
              <w:rPr>
                <w:rFonts w:cstheme="minorHAnsi"/>
              </w:rPr>
            </w:pPr>
            <w:r w:rsidRPr="00A53848">
              <w:rPr>
                <w:rFonts w:cstheme="minorHAnsi"/>
              </w:rPr>
              <w:t xml:space="preserve">Université de </w:t>
            </w:r>
            <w:proofErr w:type="spellStart"/>
            <w:r w:rsidRPr="00A53848">
              <w:rPr>
                <w:rFonts w:cstheme="minorHAnsi"/>
              </w:rPr>
              <w:t>Goteberg</w:t>
            </w:r>
            <w:proofErr w:type="spellEnd"/>
            <w:r w:rsidRPr="00A53848">
              <w:rPr>
                <w:rFonts w:cstheme="minorHAnsi"/>
              </w:rPr>
              <w:t>, V-</w:t>
            </w:r>
            <w:proofErr w:type="spellStart"/>
            <w:r w:rsidRPr="00A53848">
              <w:rPr>
                <w:rFonts w:cstheme="minorHAnsi"/>
              </w:rPr>
              <w:t>Dem</w:t>
            </w:r>
            <w:proofErr w:type="spellEnd"/>
            <w:r w:rsidRPr="00A53848">
              <w:rPr>
                <w:rFonts w:cstheme="minorHAnsi"/>
              </w:rPr>
              <w:t xml:space="preserve"> institue et Université de Notre Dame</w:t>
            </w:r>
          </w:p>
        </w:tc>
      </w:tr>
    </w:tbl>
    <w:p w14:paraId="1D89C970" w14:textId="3A78D73A" w:rsidR="00E22F29" w:rsidRPr="00A53848" w:rsidRDefault="00E22F29" w:rsidP="00BB1053">
      <w:pPr>
        <w:rPr>
          <w:rFonts w:cstheme="minorHAnsi"/>
        </w:rPr>
      </w:pPr>
    </w:p>
    <w:p w14:paraId="48E59D98" w14:textId="3421CAFF" w:rsidR="007152C6" w:rsidRPr="00A53848" w:rsidRDefault="007152C6" w:rsidP="00BB1053">
      <w:pPr>
        <w:rPr>
          <w:rFonts w:cstheme="minorHAnsi"/>
        </w:rPr>
      </w:pPr>
      <w:r w:rsidRPr="00A53848">
        <w:rPr>
          <w:rFonts w:cstheme="minorHAnsi"/>
        </w:rPr>
        <w:lastRenderedPageBreak/>
        <w:t xml:space="preserve">Après avoir </w:t>
      </w:r>
      <w:r w:rsidRPr="00A53848">
        <w:rPr>
          <w:rFonts w:cstheme="minorHAnsi"/>
        </w:rPr>
        <w:t>sélection</w:t>
      </w:r>
      <w:r w:rsidRPr="00A53848">
        <w:rPr>
          <w:rFonts w:cstheme="minorHAnsi"/>
        </w:rPr>
        <w:t>ner</w:t>
      </w:r>
      <w:r w:rsidRPr="00A53848">
        <w:rPr>
          <w:rFonts w:cstheme="minorHAnsi"/>
        </w:rPr>
        <w:t xml:space="preserve"> </w:t>
      </w:r>
      <w:r w:rsidRPr="00A53848">
        <w:rPr>
          <w:rFonts w:cstheme="minorHAnsi"/>
        </w:rPr>
        <w:t>l</w:t>
      </w:r>
      <w:r w:rsidRPr="00A53848">
        <w:rPr>
          <w:rFonts w:cstheme="minorHAnsi"/>
        </w:rPr>
        <w:t>es données sources</w:t>
      </w:r>
      <w:r w:rsidRPr="00A53848">
        <w:rPr>
          <w:rFonts w:cstheme="minorHAnsi"/>
        </w:rPr>
        <w:t xml:space="preserve">, le calcul de l’IPC suit 3 étapes : le rééchelonnement des données </w:t>
      </w:r>
      <w:r w:rsidR="00012172" w:rsidRPr="00A53848">
        <w:rPr>
          <w:rFonts w:cstheme="minorHAnsi"/>
        </w:rPr>
        <w:t>sources (</w:t>
      </w:r>
      <w:r w:rsidRPr="00A53848">
        <w:rPr>
          <w:rFonts w:cstheme="minorHAnsi"/>
        </w:rPr>
        <w:t>standardisation des sources de données), l’agrégation des données rééchelonnées, puis la déclaration d’une mesure d’incertitude. Dans le processus, apparait également un mécanisme strict de contrôle de la qualité.</w:t>
      </w:r>
    </w:p>
    <w:p w14:paraId="7C3454CC" w14:textId="77777777" w:rsidR="003B3EEF" w:rsidRDefault="003B3EEF" w:rsidP="003B3EEF"/>
    <w:p w14:paraId="459302B9" w14:textId="77777777" w:rsidR="003B3EEF" w:rsidRDefault="003B3EEF" w:rsidP="003B3EEF"/>
    <w:p w14:paraId="2AA88BBC" w14:textId="7EA61C27" w:rsidR="003B3EEF" w:rsidRPr="003B3EEF" w:rsidRDefault="003B3EEF" w:rsidP="003B3EEF">
      <w:pPr>
        <w:jc w:val="center"/>
        <w:rPr>
          <w:b/>
          <w:bCs/>
          <w:sz w:val="28"/>
          <w:szCs w:val="28"/>
        </w:rPr>
      </w:pPr>
      <w:r w:rsidRPr="003B3EEF">
        <w:rPr>
          <w:b/>
          <w:bCs/>
          <w:sz w:val="28"/>
          <w:szCs w:val="28"/>
        </w:rPr>
        <w:t>L’indice de parité gouvernementale</w:t>
      </w:r>
    </w:p>
    <w:p w14:paraId="1F05636C" w14:textId="77777777" w:rsidR="003B3EEF" w:rsidRPr="003B3EEF" w:rsidRDefault="003B3EEF" w:rsidP="003B3EEF">
      <w:pPr>
        <w:rPr>
          <w:sz w:val="24"/>
          <w:szCs w:val="24"/>
        </w:rPr>
      </w:pPr>
      <w:r w:rsidRPr="003B3EEF">
        <w:rPr>
          <w:sz w:val="24"/>
          <w:szCs w:val="24"/>
        </w:rPr>
        <w:t>L’indice de parité gouvernementale est un indice qui représente le pourcentage de sièges parlementaires nationaux occupés par des femmes (chambres basses et hautes combinées). Les données de cet indice ont été compilées par l’Union interparlementaire (l’IUP) grâce à des informations fournies par les parlements nationaux. Les valeurs de l’indice correspondent au nombre de sièges occupés au Parlement à un moment et un pays donné.</w:t>
      </w:r>
    </w:p>
    <w:p w14:paraId="2CC3DB96" w14:textId="0AB16667" w:rsidR="003B3EEF" w:rsidRDefault="003B3EEF" w:rsidP="003B3EEF">
      <w:pPr>
        <w:rPr>
          <w:sz w:val="24"/>
          <w:szCs w:val="24"/>
        </w:rPr>
      </w:pPr>
      <w:r w:rsidRPr="003B3EEF">
        <w:rPr>
          <w:sz w:val="24"/>
          <w:szCs w:val="24"/>
        </w:rPr>
        <w:t xml:space="preserve">Cet indice a été calculé de la manière suivante : </w:t>
      </w:r>
    </w:p>
    <w:p w14:paraId="52B2316B" w14:textId="77777777" w:rsidR="00A53848" w:rsidRPr="003B3EEF" w:rsidRDefault="00A53848" w:rsidP="003B3EEF">
      <w:pPr>
        <w:rPr>
          <w:sz w:val="24"/>
          <w:szCs w:val="24"/>
        </w:rPr>
      </w:pPr>
    </w:p>
    <w:p w14:paraId="70CBC98E" w14:textId="77777777" w:rsidR="003B3EEF" w:rsidRPr="001D1ADE" w:rsidRDefault="003B3EEF" w:rsidP="003B3EEF">
      <w:pPr>
        <w:rPr>
          <w:rFonts w:eastAsiaTheme="minorEastAsia"/>
        </w:rPr>
      </w:pPr>
      <m:oMathPara>
        <m:oMath>
          <m:f>
            <m:fPr>
              <m:ctrlPr>
                <w:rPr>
                  <w:rFonts w:ascii="Cambria Math" w:hAnsi="Cambria Math"/>
                  <w:lang w:val="en-US"/>
                </w:rPr>
              </m:ctrlPr>
            </m:fPr>
            <m:num>
              <m:r>
                <w:rPr>
                  <w:rFonts w:ascii="Cambria Math" w:hAnsi="Cambria Math"/>
                  <w:lang w:val="en-US"/>
                </w:rPr>
                <m:t>Nombre</m:t>
              </m:r>
              <m:r>
                <w:rPr>
                  <w:rFonts w:ascii="Cambria Math" w:hAnsi="Cambria Math"/>
                </w:rPr>
                <m:t xml:space="preserve"> </m:t>
              </m:r>
              <m:r>
                <w:rPr>
                  <w:rFonts w:ascii="Cambria Math" w:hAnsi="Cambria Math"/>
                  <w:lang w:val="en-US"/>
                </w:rPr>
                <m:t>de</m:t>
              </m:r>
              <m:r>
                <w:rPr>
                  <w:rFonts w:ascii="Cambria Math" w:hAnsi="Cambria Math"/>
                </w:rPr>
                <m:t xml:space="preserve"> </m:t>
              </m:r>
              <m:r>
                <w:rPr>
                  <w:rFonts w:ascii="Cambria Math" w:hAnsi="Cambria Math"/>
                  <w:lang w:val="en-US"/>
                </w:rPr>
                <m:t>femmes</m:t>
              </m:r>
              <m:r>
                <w:rPr>
                  <w:rFonts w:ascii="Cambria Math" w:hAnsi="Cambria Math"/>
                </w:rPr>
                <m:t xml:space="preserve"> </m:t>
              </m:r>
              <m:r>
                <w:rPr>
                  <w:rFonts w:ascii="Cambria Math" w:hAnsi="Cambria Math"/>
                  <w:lang w:val="en-US"/>
                </w:rPr>
                <m:t>en</m:t>
              </m:r>
              <m:r>
                <w:rPr>
                  <w:rFonts w:ascii="Cambria Math" w:hAnsi="Cambria Math"/>
                </w:rPr>
                <m:t xml:space="preserve"> </m:t>
              </m:r>
              <m:r>
                <w:rPr>
                  <w:rFonts w:ascii="Cambria Math" w:hAnsi="Cambria Math"/>
                  <w:lang w:val="en-US"/>
                </w:rPr>
                <m:t>c</m:t>
              </m:r>
              <m:r>
                <w:rPr>
                  <w:rFonts w:ascii="Cambria Math" w:hAnsi="Cambria Math"/>
                </w:rPr>
                <m:t>h</m:t>
              </m:r>
              <m:r>
                <w:rPr>
                  <w:rFonts w:ascii="Cambria Math" w:hAnsi="Cambria Math"/>
                  <w:lang w:val="en-US"/>
                </w:rPr>
                <m:t>ambre</m:t>
              </m:r>
              <m:r>
                <w:rPr>
                  <w:rFonts w:ascii="Cambria Math" w:hAnsi="Cambria Math"/>
                </w:rPr>
                <m:t xml:space="preserve"> </m:t>
              </m:r>
              <m:r>
                <w:rPr>
                  <w:rFonts w:ascii="Cambria Math" w:hAnsi="Cambria Math"/>
                  <w:lang w:val="en-US"/>
                </w:rPr>
                <m:t>basse</m:t>
              </m:r>
              <m:r>
                <w:rPr>
                  <w:rFonts w:ascii="Cambria Math" w:hAnsi="Cambria Math"/>
                </w:rPr>
                <m:t xml:space="preserve"> </m:t>
              </m:r>
              <m:r>
                <w:rPr>
                  <w:rFonts w:ascii="Cambria Math" w:hAnsi="Cambria Math"/>
                  <w:lang w:val="en-US"/>
                </w:rPr>
                <m:t>ou</m:t>
              </m:r>
              <m:r>
                <w:rPr>
                  <w:rFonts w:ascii="Cambria Math" w:hAnsi="Cambria Math"/>
                </w:rPr>
                <m:t xml:space="preserve"> h</m:t>
              </m:r>
              <m:r>
                <w:rPr>
                  <w:rFonts w:ascii="Cambria Math" w:hAnsi="Cambria Math"/>
                  <w:lang w:val="en-US"/>
                </w:rPr>
                <m:t>aute</m:t>
              </m:r>
              <m:r>
                <w:rPr>
                  <w:rFonts w:ascii="Cambria Math" w:hAnsi="Cambria Math"/>
                </w:rPr>
                <m:t xml:space="preserve"> </m:t>
              </m:r>
              <m:r>
                <w:rPr>
                  <w:rFonts w:ascii="Cambria Math" w:hAnsi="Cambria Math"/>
                </w:rPr>
                <m:t>par pays et années</m:t>
              </m:r>
            </m:num>
            <m:den>
              <m:r>
                <w:rPr>
                  <w:rFonts w:ascii="Cambria Math" w:hAnsi="Cambria Math"/>
                  <w:lang w:val="en-US"/>
                </w:rPr>
                <m:t>Nombre</m:t>
              </m:r>
              <m:r>
                <w:rPr>
                  <w:rFonts w:ascii="Cambria Math" w:hAnsi="Cambria Math"/>
                </w:rPr>
                <m:t xml:space="preserve"> </m:t>
              </m:r>
              <m:r>
                <w:rPr>
                  <w:rFonts w:ascii="Cambria Math" w:hAnsi="Cambria Math"/>
                  <w:lang w:val="en-US"/>
                </w:rPr>
                <m:t>total</m:t>
              </m:r>
              <m:r>
                <w:rPr>
                  <w:rFonts w:ascii="Cambria Math" w:hAnsi="Cambria Math"/>
                </w:rPr>
                <m:t xml:space="preserve"> </m:t>
              </m:r>
              <m:r>
                <w:rPr>
                  <w:rFonts w:ascii="Cambria Math" w:hAnsi="Cambria Math"/>
                  <w:lang w:val="en-US"/>
                </w:rPr>
                <m:t>de</m:t>
              </m:r>
              <m:r>
                <w:rPr>
                  <w:rFonts w:ascii="Cambria Math" w:hAnsi="Cambria Math"/>
                </w:rPr>
                <m:t xml:space="preserve"> </m:t>
              </m:r>
              <m:r>
                <w:rPr>
                  <w:rFonts w:ascii="Cambria Math" w:hAnsi="Cambria Math"/>
                  <w:lang w:val="en-US"/>
                </w:rPr>
                <m:t>si</m:t>
              </m:r>
              <m:r>
                <w:rPr>
                  <w:rFonts w:ascii="Cambria Math" w:hAnsi="Cambria Math"/>
                </w:rPr>
                <m:t>è</m:t>
              </m:r>
              <m:r>
                <w:rPr>
                  <w:rFonts w:ascii="Cambria Math" w:hAnsi="Cambria Math"/>
                  <w:lang w:val="en-US"/>
                </w:rPr>
                <m:t>ges</m:t>
              </m:r>
              <m:r>
                <w:rPr>
                  <w:rFonts w:ascii="Cambria Math" w:hAnsi="Cambria Math"/>
                </w:rPr>
                <m:t xml:space="preserve"> </m:t>
              </m:r>
              <m:r>
                <w:rPr>
                  <w:rFonts w:ascii="Cambria Math" w:hAnsi="Cambria Math"/>
                  <w:lang w:val="en-US"/>
                </w:rPr>
                <m:t>en</m:t>
              </m:r>
              <m:r>
                <w:rPr>
                  <w:rFonts w:ascii="Cambria Math" w:hAnsi="Cambria Math"/>
                </w:rPr>
                <m:t xml:space="preserve"> </m:t>
              </m:r>
              <m:r>
                <w:rPr>
                  <w:rFonts w:ascii="Cambria Math" w:hAnsi="Cambria Math"/>
                  <w:lang w:val="en-US"/>
                </w:rPr>
                <m:t>c</m:t>
              </m:r>
              <m:r>
                <w:rPr>
                  <w:rFonts w:ascii="Cambria Math" w:hAnsi="Cambria Math"/>
                </w:rPr>
                <m:t>h</m:t>
              </m:r>
              <m:r>
                <w:rPr>
                  <w:rFonts w:ascii="Cambria Math" w:hAnsi="Cambria Math"/>
                  <w:lang w:val="en-US"/>
                </w:rPr>
                <m:t>ambre</m:t>
              </m:r>
              <m:r>
                <w:rPr>
                  <w:rFonts w:ascii="Cambria Math" w:hAnsi="Cambria Math"/>
                </w:rPr>
                <m:t xml:space="preserve"> </m:t>
              </m:r>
              <m:r>
                <w:rPr>
                  <w:rFonts w:ascii="Cambria Math" w:hAnsi="Cambria Math"/>
                  <w:lang w:val="en-US"/>
                </w:rPr>
                <m:t>basse</m:t>
              </m:r>
              <m:r>
                <w:rPr>
                  <w:rFonts w:ascii="Cambria Math" w:hAnsi="Cambria Math"/>
                </w:rPr>
                <m:t xml:space="preserve"> </m:t>
              </m:r>
              <m:r>
                <w:rPr>
                  <w:rFonts w:ascii="Cambria Math" w:hAnsi="Cambria Math"/>
                  <w:lang w:val="en-US"/>
                </w:rPr>
                <m:t>et</m:t>
              </m:r>
              <m:r>
                <w:rPr>
                  <w:rFonts w:ascii="Cambria Math" w:hAnsi="Cambria Math"/>
                </w:rPr>
                <m:t xml:space="preserve"> h</m:t>
              </m:r>
              <m:r>
                <w:rPr>
                  <w:rFonts w:ascii="Cambria Math" w:hAnsi="Cambria Math"/>
                  <w:lang w:val="en-US"/>
                </w:rPr>
                <m:t xml:space="preserve">aute par pays et années </m:t>
              </m:r>
            </m:den>
          </m:f>
          <m:r>
            <w:rPr>
              <w:rFonts w:ascii="Cambria Math" w:hAnsi="Cambria Math"/>
              <w:lang w:val="en-US"/>
            </w:rPr>
            <m:t>*100</m:t>
          </m:r>
        </m:oMath>
      </m:oMathPara>
    </w:p>
    <w:p w14:paraId="5500320A" w14:textId="77777777" w:rsidR="003B3EEF" w:rsidRPr="001D1ADE" w:rsidRDefault="003B3EEF" w:rsidP="003B3EEF">
      <w:pPr>
        <w:rPr>
          <w:rFonts w:eastAsiaTheme="minorEastAsia"/>
        </w:rPr>
      </w:pPr>
    </w:p>
    <w:p w14:paraId="038C8161" w14:textId="77777777" w:rsidR="003B3EEF" w:rsidRPr="003B3EEF" w:rsidRDefault="003B3EEF" w:rsidP="003B3EEF">
      <w:pPr>
        <w:rPr>
          <w:rFonts w:eastAsiaTheme="minorEastAsia"/>
          <w:sz w:val="24"/>
          <w:szCs w:val="24"/>
        </w:rPr>
      </w:pPr>
      <w:r w:rsidRPr="003B3EEF">
        <w:rPr>
          <w:rFonts w:eastAsiaTheme="minorEastAsia"/>
          <w:sz w:val="24"/>
          <w:szCs w:val="24"/>
        </w:rPr>
        <w:t xml:space="preserve">Avec chambre basse : Assemblée nationale </w:t>
      </w:r>
    </w:p>
    <w:p w14:paraId="404C0E40" w14:textId="77777777" w:rsidR="003B3EEF" w:rsidRPr="003B3EEF" w:rsidRDefault="003B3EEF" w:rsidP="003B3EEF">
      <w:pPr>
        <w:rPr>
          <w:rFonts w:eastAsiaTheme="minorEastAsia"/>
          <w:sz w:val="24"/>
          <w:szCs w:val="24"/>
        </w:rPr>
      </w:pPr>
      <w:r w:rsidRPr="003B3EEF">
        <w:rPr>
          <w:rFonts w:eastAsiaTheme="minorEastAsia"/>
          <w:sz w:val="24"/>
          <w:szCs w:val="24"/>
        </w:rPr>
        <w:t>Chambre haute : Sénat</w:t>
      </w:r>
    </w:p>
    <w:p w14:paraId="77D111E6" w14:textId="77777777" w:rsidR="003B3EEF" w:rsidRPr="00BB1053" w:rsidRDefault="003B3EEF" w:rsidP="00BB1053"/>
    <w:sectPr w:rsidR="003B3EEF" w:rsidRPr="00BB1053" w:rsidSect="00832D6A">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14C93"/>
    <w:multiLevelType w:val="hybridMultilevel"/>
    <w:tmpl w:val="6B82F7BE"/>
    <w:lvl w:ilvl="0" w:tplc="CB6A28BE">
      <w:numFmt w:val="bullet"/>
      <w:lvlText w:val="-"/>
      <w:lvlJc w:val="left"/>
      <w:pPr>
        <w:ind w:left="720" w:hanging="360"/>
      </w:pPr>
      <w:rPr>
        <w:rFonts w:ascii="Calibri" w:eastAsia="Microsoft YaHei" w:hAnsi="Calibri" w:cs="Calibri"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80"/>
    <w:rsid w:val="00012172"/>
    <w:rsid w:val="00116454"/>
    <w:rsid w:val="00265E47"/>
    <w:rsid w:val="003B3EEF"/>
    <w:rsid w:val="003E06A9"/>
    <w:rsid w:val="00481986"/>
    <w:rsid w:val="007152C6"/>
    <w:rsid w:val="00A53848"/>
    <w:rsid w:val="00BA4246"/>
    <w:rsid w:val="00BB1053"/>
    <w:rsid w:val="00D04C80"/>
    <w:rsid w:val="00E22F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B2CA"/>
  <w15:chartTrackingRefBased/>
  <w15:docId w15:val="{176ED933-702D-43C0-81BF-5EF0C6BC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4C80"/>
    <w:pPr>
      <w:ind w:left="720"/>
      <w:contextualSpacing/>
    </w:pPr>
  </w:style>
  <w:style w:type="table" w:styleId="Grilledutableau">
    <w:name w:val="Table Grid"/>
    <w:basedOn w:val="TableauNormal"/>
    <w:uiPriority w:val="39"/>
    <w:rsid w:val="00BB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0686D-DCE5-4200-B897-506EDDE6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529</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jaber</dc:creator>
  <cp:keywords/>
  <dc:description/>
  <cp:lastModifiedBy>eva jaber</cp:lastModifiedBy>
  <cp:revision>1</cp:revision>
  <dcterms:created xsi:type="dcterms:W3CDTF">2022-02-12T18:57:00Z</dcterms:created>
  <dcterms:modified xsi:type="dcterms:W3CDTF">2022-02-13T12:38:00Z</dcterms:modified>
</cp:coreProperties>
</file>