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hd w:fill="FFFF00" w:val="clear"/>
        </w:rPr>
      </w:pPr>
      <w:r>
        <w:rPr>
          <w:b/>
          <w:bCs/>
          <w:sz w:val="28"/>
          <w:szCs w:val="28"/>
          <w:shd w:fill="FFFF00" w:val="clear"/>
        </w:rPr>
        <w:t>Indice Paix : Global Peace Index</w:t>
      </w:r>
    </w:p>
    <w:p>
      <w:pPr>
        <w:pStyle w:val="Normal"/>
        <w:rPr/>
      </w:pPr>
      <w:r>
        <w:rPr/>
      </w:r>
    </w:p>
    <w:p>
      <w:pPr>
        <w:pStyle w:val="Normal"/>
        <w:rPr/>
      </w:pPr>
      <w:r>
        <w:rPr/>
        <w:t>L’IPG (Global Peace Index) est la première mesure mondiale de paix. Elle ne mesure pas seulement la présence ou l’absence de guerre mais prend aussi en compte l’absence de violence et la peur de la violence. Ainsi l’IPG couvre 99,7 % de la population mondiale, et est calculé à l’aide de 23 indicateurs qualitatifs et quantitatifs, et mesure l’état de paix selon trois domaines :</w:t>
      </w:r>
    </w:p>
    <w:p>
      <w:pPr>
        <w:pStyle w:val="ListParagraph"/>
        <w:numPr>
          <w:ilvl w:val="0"/>
          <w:numId w:val="1"/>
        </w:numPr>
        <w:rPr/>
      </w:pPr>
      <w:r>
        <w:rPr/>
        <w:t>Le niveau de sûreté et de sécurité sociétales : on évalue le niveau d’harmonie ou de discorde au sein d’une nation à travers des indicateurs tels que :</w:t>
      </w:r>
    </w:p>
    <w:p>
      <w:pPr>
        <w:pStyle w:val="ListParagraph"/>
        <w:numPr>
          <w:ilvl w:val="1"/>
          <w:numId w:val="1"/>
        </w:numPr>
        <w:rPr/>
      </w:pPr>
      <w:r>
        <w:rPr/>
        <w:t>Un faible taux de criminalité</w:t>
      </w:r>
    </w:p>
    <w:p>
      <w:pPr>
        <w:pStyle w:val="ListParagraph"/>
        <w:numPr>
          <w:ilvl w:val="1"/>
          <w:numId w:val="1"/>
        </w:numPr>
        <w:rPr/>
      </w:pPr>
      <w:r>
        <w:rPr/>
        <w:t>Une activité terroriste et des manifestations violentes minimales</w:t>
      </w:r>
    </w:p>
    <w:p>
      <w:pPr>
        <w:pStyle w:val="ListParagraph"/>
        <w:numPr>
          <w:ilvl w:val="1"/>
          <w:numId w:val="1"/>
        </w:numPr>
        <w:rPr/>
      </w:pPr>
      <w:r>
        <w:rPr/>
        <w:t>Des relations harmonieuses avec les pays voisins</w:t>
      </w:r>
    </w:p>
    <w:p>
      <w:pPr>
        <w:pStyle w:val="ListParagraph"/>
        <w:numPr>
          <w:ilvl w:val="1"/>
          <w:numId w:val="1"/>
        </w:numPr>
        <w:rPr/>
      </w:pPr>
      <w:r>
        <w:rPr/>
        <w:t>Une stabilité de la scène politique</w:t>
      </w:r>
    </w:p>
    <w:p>
      <w:pPr>
        <w:pStyle w:val="ListParagraph"/>
        <w:numPr>
          <w:ilvl w:val="1"/>
          <w:numId w:val="1"/>
        </w:numPr>
        <w:rPr/>
      </w:pPr>
      <w:r>
        <w:rPr/>
        <w:t xml:space="preserve">Une faible proportion de la population déplacée ou réfugiée </w:t>
      </w:r>
    </w:p>
    <w:p>
      <w:pPr>
        <w:pStyle w:val="ListParagraph"/>
        <w:numPr>
          <w:ilvl w:val="0"/>
          <w:numId w:val="1"/>
        </w:numPr>
        <w:rPr/>
      </w:pPr>
      <w:r>
        <w:rPr/>
        <w:t xml:space="preserve">L’étendue des conflits nationaux et internationaux en cours : on examine dans quelle mesure les pays sont impliqués dans des conflits internes et externes, ainsi que leur rôle et la durée des conflits. </w:t>
      </w:r>
    </w:p>
    <w:p>
      <w:pPr>
        <w:pStyle w:val="ListParagraph"/>
        <w:numPr>
          <w:ilvl w:val="0"/>
          <w:numId w:val="1"/>
        </w:numPr>
        <w:rPr/>
      </w:pPr>
      <w:r>
        <w:rPr/>
        <w:t>Et le degré de militarisation : reflète le lien entre le niveau d’accumulation militaire d’un pays et son accès aux armes ainsi que son niveau de paix, tant au niveau national qu’international</w:t>
      </w:r>
    </w:p>
    <w:p>
      <w:pPr>
        <w:pStyle w:val="Normal"/>
        <w:rPr/>
      </w:pPr>
      <w:r>
        <w:rPr/>
      </w:r>
    </w:p>
    <w:p>
      <w:pPr>
        <w:pStyle w:val="Normal"/>
        <w:jc w:val="center"/>
        <w:rPr/>
      </w:pPr>
      <w:r>
        <w:rPr/>
        <w:drawing>
          <wp:inline distT="0" distB="0" distL="0" distR="0">
            <wp:extent cx="5760720" cy="4702810"/>
            <wp:effectExtent l="0" t="0" r="0" b="0"/>
            <wp:docPr id="1"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able&#10;&#10;Description générée automatiquement"/>
                    <pic:cNvPicPr>
                      <a:picLocks noChangeAspect="1" noChangeArrowheads="1"/>
                    </pic:cNvPicPr>
                  </pic:nvPicPr>
                  <pic:blipFill>
                    <a:blip r:embed="rId2"/>
                    <a:stretch>
                      <a:fillRect/>
                    </a:stretch>
                  </pic:blipFill>
                  <pic:spPr bwMode="auto">
                    <a:xfrm>
                      <a:off x="0" y="0"/>
                      <a:ext cx="5760720" cy="4702810"/>
                    </a:xfrm>
                    <a:prstGeom prst="rect">
                      <a:avLst/>
                    </a:prstGeom>
                  </pic:spPr>
                </pic:pic>
              </a:graphicData>
            </a:graphic>
          </wp:inline>
        </w:drawing>
      </w:r>
    </w:p>
    <w:p>
      <w:pPr>
        <w:pStyle w:val="Normal"/>
        <w:jc w:val="center"/>
        <w:rPr>
          <w:shd w:fill="FFFF00" w:val="clear"/>
        </w:rPr>
      </w:pPr>
      <w:r>
        <w:rPr>
          <w:b/>
          <w:bCs/>
          <w:sz w:val="28"/>
          <w:szCs w:val="28"/>
          <w:shd w:fill="FFFF00" w:val="clear"/>
        </w:rPr>
        <w:t>Indice Bonheur </w:t>
      </w:r>
    </w:p>
    <w:p>
      <w:pPr>
        <w:pStyle w:val="Normal"/>
        <w:widowControl/>
        <w:ind w:left="0" w:right="0" w:hanging="0"/>
        <w:rPr/>
      </w:pPr>
      <w:r>
        <w:rPr/>
      </w:r>
    </w:p>
    <w:p>
      <w:pPr>
        <w:pStyle w:val="Normal"/>
        <w:pBdr>
          <w:bottom w:val="single" w:sz="6" w:space="1" w:color="000000"/>
        </w:pBdr>
        <w:rPr>
          <w:rFonts w:ascii="Arial" w:hAnsi="Arial"/>
          <w:color w:val="000000"/>
          <w:sz w:val="22"/>
          <w:szCs w:val="22"/>
        </w:rPr>
      </w:pPr>
      <w:r>
        <w:rPr>
          <w:rFonts w:ascii="Arial" w:hAnsi="Arial"/>
          <w:b w:val="false"/>
          <w:i w:val="false"/>
          <w:caps w:val="false"/>
          <w:smallCaps w:val="false"/>
          <w:color w:val="000000"/>
          <w:spacing w:val="0"/>
          <w:sz w:val="22"/>
          <w:szCs w:val="22"/>
        </w:rPr>
        <w:t xml:space="preserve">Les données sur le bonheur sont publiées dans le </w:t>
      </w:r>
      <w:r>
        <w:rPr>
          <w:rFonts w:ascii="Arial" w:hAnsi="Arial"/>
          <w:b w:val="false"/>
          <w:i/>
          <w:iCs/>
          <w:caps w:val="false"/>
          <w:smallCaps w:val="false"/>
          <w:color w:val="000000"/>
          <w:spacing w:val="0"/>
          <w:sz w:val="22"/>
          <w:szCs w:val="22"/>
        </w:rPr>
        <w:t xml:space="preserve">World Happiness Report </w:t>
      </w:r>
      <w:r>
        <w:rPr>
          <w:rFonts w:ascii="Arial" w:hAnsi="Arial"/>
          <w:b w:val="false"/>
          <w:i/>
          <w:iCs/>
          <w:caps w:val="false"/>
          <w:smallCaps w:val="false"/>
          <w:color w:val="000000"/>
          <w:spacing w:val="0"/>
          <w:sz w:val="22"/>
          <w:szCs w:val="22"/>
        </w:rPr>
        <w:t>of</w:t>
      </w:r>
      <w:r>
        <w:rPr>
          <w:rFonts w:ascii="Arial" w:hAnsi="Arial"/>
          <w:b w:val="false"/>
          <w:i/>
          <w:iCs/>
          <w:caps w:val="false"/>
          <w:smallCaps w:val="false"/>
          <w:color w:val="000000"/>
          <w:spacing w:val="0"/>
          <w:sz w:val="22"/>
          <w:szCs w:val="22"/>
        </w:rPr>
        <w:t xml:space="preserve"> Sustainable Development Solutions Network </w:t>
      </w:r>
      <w:r>
        <w:rPr>
          <w:rFonts w:ascii="Arial" w:hAnsi="Arial"/>
          <w:b w:val="false"/>
          <w:i w:val="false"/>
          <w:caps w:val="false"/>
          <w:smallCaps w:val="false"/>
          <w:color w:val="000000"/>
          <w:spacing w:val="0"/>
          <w:sz w:val="22"/>
          <w:szCs w:val="22"/>
        </w:rPr>
        <w:t xml:space="preserve">à partir des données recueillies par Gallup World Poll. </w:t>
      </w:r>
    </w:p>
    <w:p>
      <w:pPr>
        <w:pStyle w:val="Normal"/>
        <w:pBdr>
          <w:bottom w:val="single" w:sz="6" w:space="1" w:color="000000"/>
        </w:pBdr>
        <w:rPr>
          <w:rFonts w:ascii="Arial" w:hAnsi="Arial"/>
          <w:color w:val="000000"/>
          <w:sz w:val="22"/>
          <w:szCs w:val="22"/>
        </w:rPr>
      </w:pPr>
      <w:r>
        <w:rPr>
          <w:rFonts w:ascii="Arial" w:hAnsi="Arial"/>
          <w:b w:val="false"/>
          <w:i w:val="false"/>
          <w:caps w:val="false"/>
          <w:smallCaps w:val="false"/>
          <w:color w:val="000000"/>
          <w:spacing w:val="0"/>
          <w:sz w:val="22"/>
          <w:szCs w:val="22"/>
        </w:rPr>
        <w:t xml:space="preserve">Gallup est un ensemble d’enquêtes nationales représentatives réalisées dans plus de 160 pays dans plus de 140 langues. </w:t>
      </w:r>
    </w:p>
    <w:p>
      <w:pPr>
        <w:pStyle w:val="Normal"/>
        <w:pBdr>
          <w:bottom w:val="single" w:sz="6" w:space="1" w:color="000000"/>
        </w:pBdr>
        <w:rPr>
          <w:rFonts w:ascii="Arial" w:hAnsi="Arial"/>
          <w:color w:val="000000"/>
          <w:sz w:val="22"/>
          <w:szCs w:val="22"/>
        </w:rPr>
      </w:pPr>
      <w:r>
        <w:rPr>
          <w:rFonts w:ascii="Arial" w:hAnsi="Arial"/>
          <w:b w:val="false"/>
          <w:i w:val="false"/>
          <w:caps w:val="false"/>
          <w:smallCaps w:val="false"/>
          <w:color w:val="000000"/>
          <w:spacing w:val="0"/>
          <w:sz w:val="22"/>
          <w:szCs w:val="22"/>
        </w:rPr>
        <w:t xml:space="preserve">La principale question d’évaluation de la vie posée dans le sondage est la suivante : « Imaginez une échelle, avec des marches numérotées de 0 à 10. Le haut de l’échelle représente la meilleure vie possible pour vous et le bas de l’échelle représente la pire vie possible pour vous. Sur quelle marche de l’échelle diriez-vous que vous vous sentez personnellement </w:t>
      </w:r>
      <w:r>
        <w:rPr>
          <w:rFonts w:ascii="Arial" w:hAnsi="Arial"/>
          <w:b w:val="false"/>
          <w:i w:val="false"/>
          <w:caps w:val="false"/>
          <w:smallCaps w:val="false"/>
          <w:color w:val="000000"/>
          <w:spacing w:val="0"/>
          <w:sz w:val="22"/>
          <w:szCs w:val="22"/>
        </w:rPr>
        <w:t>en ce moment</w:t>
      </w:r>
      <w:r>
        <w:rPr>
          <w:rFonts w:ascii="Arial" w:hAnsi="Arial"/>
          <w:b w:val="false"/>
          <w:i w:val="false"/>
          <w:caps w:val="false"/>
          <w:smallCaps w:val="false"/>
          <w:color w:val="000000"/>
          <w:spacing w:val="0"/>
          <w:sz w:val="22"/>
          <w:szCs w:val="22"/>
        </w:rPr>
        <w:t>? »</w:t>
      </w:r>
    </w:p>
    <w:p>
      <w:pPr>
        <w:pStyle w:val="Normal"/>
        <w:pBdr>
          <w:bottom w:val="single" w:sz="6" w:space="1" w:color="000000"/>
        </w:pBdr>
        <w:rPr>
          <w:b w:val="false"/>
          <w:i w:val="false"/>
          <w:caps w:val="false"/>
          <w:smallCaps w:val="false"/>
          <w:spacing w:val="0"/>
        </w:rPr>
      </w:pPr>
      <w:r>
        <w:rPr>
          <w:rFonts w:ascii="Arial" w:hAnsi="Arial"/>
          <w:color w:val="000000"/>
          <w:sz w:val="22"/>
          <w:szCs w:val="22"/>
        </w:rPr>
      </w:r>
    </w:p>
    <w:p>
      <w:pPr>
        <w:pStyle w:val="Normal"/>
        <w:rPr>
          <w:rFonts w:ascii="Arial" w:hAnsi="Arial"/>
        </w:rPr>
      </w:pPr>
      <w:r>
        <w:rPr>
          <w:rFonts w:ascii="Arial" w:hAnsi="Arial"/>
        </w:rPr>
        <w:t>Ainsi p</w:t>
      </w:r>
      <w:r>
        <w:rPr>
          <w:rFonts w:ascii="Arial" w:hAnsi="Arial"/>
        </w:rPr>
        <w:t xml:space="preserve">our mesurer le score de bonheur par pays, l’ONU élabore le Rapport sur le bonheur </w:t>
      </w:r>
      <w:r>
        <w:rPr>
          <w:rFonts w:ascii="Arial" w:hAnsi="Arial"/>
        </w:rPr>
        <w:t xml:space="preserve">(World Hapiness Report) </w:t>
      </w:r>
      <w:r>
        <w:rPr>
          <w:rFonts w:ascii="Arial" w:hAnsi="Arial"/>
        </w:rPr>
        <w:t xml:space="preserve">dans le monde qui est fondé sur l’évaluation de sa propre vie par les répondants </w:t>
      </w:r>
      <w:r>
        <w:rPr>
          <w:rFonts w:ascii="Arial" w:hAnsi="Arial"/>
        </w:rPr>
        <w:t xml:space="preserve">(question ci dessus) </w:t>
      </w:r>
      <w:r>
        <w:rPr>
          <w:rFonts w:ascii="Arial" w:hAnsi="Arial"/>
        </w:rPr>
        <w:t>, puis le rapport établit une corrélation avec divers facteurs de vie tels que :</w:t>
      </w:r>
    </w:p>
    <w:p>
      <w:pPr>
        <w:pStyle w:val="ListParagraph"/>
        <w:numPr>
          <w:ilvl w:val="0"/>
          <w:numId w:val="1"/>
        </w:numPr>
        <w:rPr>
          <w:rFonts w:ascii="Arial" w:hAnsi="Arial"/>
        </w:rPr>
      </w:pPr>
      <w:r>
        <w:rPr>
          <w:rFonts w:ascii="Arial" w:hAnsi="Arial"/>
        </w:rPr>
        <w:t>Des indicateurs standard de la qualité de vie comprenant la richesse</w:t>
      </w:r>
    </w:p>
    <w:p>
      <w:pPr>
        <w:pStyle w:val="ListParagraph"/>
        <w:numPr>
          <w:ilvl w:val="0"/>
          <w:numId w:val="1"/>
        </w:numPr>
        <w:rPr>
          <w:rFonts w:ascii="Arial" w:hAnsi="Arial"/>
        </w:rPr>
      </w:pPr>
      <w:r>
        <w:rPr>
          <w:rFonts w:ascii="Arial" w:hAnsi="Arial"/>
        </w:rPr>
        <w:t>L’emploi</w:t>
      </w:r>
    </w:p>
    <w:p>
      <w:pPr>
        <w:pStyle w:val="ListParagraph"/>
        <w:numPr>
          <w:ilvl w:val="0"/>
          <w:numId w:val="1"/>
        </w:numPr>
        <w:rPr>
          <w:rFonts w:ascii="Arial" w:hAnsi="Arial"/>
        </w:rPr>
      </w:pPr>
      <w:r>
        <w:rPr>
          <w:rFonts w:ascii="Arial" w:hAnsi="Arial"/>
        </w:rPr>
        <w:t>L’environnement</w:t>
      </w:r>
    </w:p>
    <w:p>
      <w:pPr>
        <w:pStyle w:val="ListParagraph"/>
        <w:numPr>
          <w:ilvl w:val="0"/>
          <w:numId w:val="1"/>
        </w:numPr>
        <w:rPr>
          <w:rFonts w:ascii="Arial" w:hAnsi="Arial"/>
        </w:rPr>
      </w:pPr>
      <w:r>
        <w:rPr>
          <w:rFonts w:ascii="Arial" w:hAnsi="Arial"/>
        </w:rPr>
        <w:t>La santé physique et mentale</w:t>
      </w:r>
    </w:p>
    <w:p>
      <w:pPr>
        <w:pStyle w:val="ListParagraph"/>
        <w:numPr>
          <w:ilvl w:val="0"/>
          <w:numId w:val="1"/>
        </w:numPr>
        <w:rPr>
          <w:rFonts w:ascii="Arial" w:hAnsi="Arial"/>
        </w:rPr>
      </w:pPr>
      <w:r>
        <w:rPr>
          <w:rFonts w:ascii="Arial" w:hAnsi="Arial"/>
        </w:rPr>
        <w:t>L’éducation</w:t>
      </w:r>
    </w:p>
    <w:p>
      <w:pPr>
        <w:pStyle w:val="ListParagraph"/>
        <w:numPr>
          <w:ilvl w:val="0"/>
          <w:numId w:val="1"/>
        </w:numPr>
        <w:rPr>
          <w:rFonts w:ascii="Arial" w:hAnsi="Arial"/>
        </w:rPr>
      </w:pPr>
      <w:r>
        <w:rPr>
          <w:rFonts w:ascii="Arial" w:hAnsi="Arial"/>
        </w:rPr>
        <w:t xml:space="preserve">Les loisirs </w:t>
      </w:r>
    </w:p>
    <w:p>
      <w:pPr>
        <w:pStyle w:val="ListParagraph"/>
        <w:numPr>
          <w:ilvl w:val="0"/>
          <w:numId w:val="1"/>
        </w:numPr>
        <w:rPr>
          <w:rFonts w:ascii="Arial" w:hAnsi="Arial"/>
        </w:rPr>
      </w:pPr>
      <w:r>
        <w:rPr>
          <w:rFonts w:ascii="Arial" w:hAnsi="Arial"/>
        </w:rPr>
        <w:t>L’appartenance sociale</w:t>
      </w:r>
    </w:p>
    <w:p>
      <w:pPr>
        <w:pStyle w:val="ListParagraph"/>
        <w:numPr>
          <w:ilvl w:val="0"/>
          <w:numId w:val="1"/>
        </w:numPr>
        <w:rPr>
          <w:rFonts w:ascii="Arial" w:hAnsi="Arial"/>
        </w:rPr>
      </w:pPr>
      <w:r>
        <w:rPr>
          <w:rFonts w:ascii="Arial" w:hAnsi="Arial"/>
        </w:rPr>
        <w:t>Les croyances religieuses</w:t>
      </w:r>
    </w:p>
    <w:p>
      <w:pPr>
        <w:pStyle w:val="ListParagraph"/>
        <w:numPr>
          <w:ilvl w:val="0"/>
          <w:numId w:val="1"/>
        </w:numPr>
        <w:rPr>
          <w:rFonts w:ascii="Arial" w:hAnsi="Arial"/>
        </w:rPr>
      </w:pPr>
      <w:r>
        <w:rPr>
          <w:rFonts w:ascii="Arial" w:hAnsi="Arial"/>
        </w:rPr>
        <w:t xml:space="preserve">La sécurité </w:t>
      </w:r>
    </w:p>
    <w:p>
      <w:pPr>
        <w:pStyle w:val="ListParagraph"/>
        <w:numPr>
          <w:ilvl w:val="0"/>
          <w:numId w:val="1"/>
        </w:numPr>
        <w:pBdr>
          <w:bottom w:val="single" w:sz="6" w:space="1" w:color="000000"/>
        </w:pBdr>
        <w:rPr>
          <w:rFonts w:ascii="Arial" w:hAnsi="Arial"/>
          <w:color w:val="000000"/>
          <w:sz w:val="22"/>
          <w:szCs w:val="22"/>
        </w:rPr>
      </w:pPr>
      <w:r>
        <w:rPr>
          <w:rFonts w:ascii="Arial" w:hAnsi="Arial"/>
          <w:b w:val="false"/>
          <w:i w:val="false"/>
          <w:caps w:val="false"/>
          <w:smallCaps w:val="false"/>
          <w:color w:val="000000"/>
          <w:spacing w:val="0"/>
          <w:sz w:val="22"/>
          <w:szCs w:val="22"/>
        </w:rPr>
        <w:t>La liberté.</w:t>
      </w:r>
    </w:p>
    <w:p>
      <w:pPr>
        <w:pStyle w:val="ListParagraph"/>
        <w:numPr>
          <w:ilvl w:val="0"/>
          <w:numId w:val="0"/>
        </w:numPr>
        <w:pBdr>
          <w:bottom w:val="single" w:sz="6" w:space="1" w:color="000000"/>
        </w:pBdr>
        <w:ind w:left="1440" w:hanging="0"/>
        <w:rPr>
          <w:b w:val="false"/>
          <w:i w:val="false"/>
          <w:caps w:val="false"/>
          <w:smallCaps w:val="false"/>
          <w:spacing w:val="0"/>
        </w:rPr>
      </w:pPr>
      <w:r>
        <w:rPr>
          <w:rFonts w:ascii="Arial" w:hAnsi="Arial"/>
          <w:color w:val="000000"/>
          <w:sz w:val="22"/>
          <w:szCs w:val="22"/>
        </w:rPr>
      </w:r>
    </w:p>
    <w:p>
      <w:pPr>
        <w:pStyle w:val="Normal"/>
        <w:pBdr>
          <w:bottom w:val="single" w:sz="6" w:space="1" w:color="000000"/>
        </w:pBdr>
        <w:rPr>
          <w:rFonts w:ascii="Arial" w:hAnsi="Arial"/>
          <w:color w:val="000000"/>
          <w:sz w:val="22"/>
          <w:szCs w:val="22"/>
        </w:rPr>
      </w:pPr>
      <w:r>
        <w:rPr>
          <w:rFonts w:ascii="Arial" w:hAnsi="Arial"/>
          <w:b w:val="false"/>
          <w:i w:val="false"/>
          <w:caps w:val="false"/>
          <w:smallCaps w:val="false"/>
          <w:color w:val="000000"/>
          <w:spacing w:val="0"/>
          <w:sz w:val="22"/>
          <w:szCs w:val="22"/>
        </w:rPr>
        <w:t xml:space="preserve">Gapminder a </w:t>
      </w:r>
      <w:r>
        <w:rPr>
          <w:rFonts w:ascii="Arial" w:hAnsi="Arial"/>
          <w:b w:val="false"/>
          <w:i w:val="false"/>
          <w:caps w:val="false"/>
          <w:smallCaps w:val="false"/>
          <w:color w:val="000000"/>
          <w:spacing w:val="0"/>
          <w:sz w:val="22"/>
          <w:szCs w:val="22"/>
        </w:rPr>
        <w:t xml:space="preserve">ainsi </w:t>
      </w:r>
      <w:r>
        <w:rPr>
          <w:rFonts w:ascii="Arial" w:hAnsi="Arial"/>
          <w:b w:val="false"/>
          <w:i w:val="false"/>
          <w:caps w:val="false"/>
          <w:smallCaps w:val="false"/>
          <w:color w:val="000000"/>
          <w:spacing w:val="0"/>
          <w:sz w:val="22"/>
          <w:szCs w:val="22"/>
        </w:rPr>
        <w:t>importé des données de séries chronologiques de 2005 à 2020 du World Happiness Report, 2021. Le classement 2018-2020 des scores de bonheur comprend 149 pays/territoires; seulement deux tiers d’entre eux (95 pour être précis) ont des informations d’enquête en 2020. Le classement des autres pays est basé sur des enquêtes menées en 2018 et 2019.</w:t>
      </w:r>
    </w:p>
    <w:p>
      <w:pPr>
        <w:pStyle w:val="Normal"/>
        <w:pBdr>
          <w:bottom w:val="single" w:sz="6" w:space="1" w:color="000000"/>
        </w:pBdr>
        <w:rPr>
          <w:rFonts w:ascii="Arial" w:hAnsi="Arial"/>
        </w:rPr>
      </w:pPr>
      <w:r>
        <w:rPr>
          <w:rFonts w:ascii="Arial" w:hAnsi="Arial"/>
          <w:b w:val="false"/>
          <w:i w:val="false"/>
          <w:caps w:val="false"/>
          <w:smallCaps w:val="false"/>
          <w:color w:val="000000"/>
          <w:spacing w:val="0"/>
          <w:sz w:val="22"/>
          <w:szCs w:val="22"/>
        </w:rPr>
        <w:t>L</w:t>
      </w:r>
      <w:r>
        <w:rPr>
          <w:rFonts w:ascii="Arial" w:hAnsi="Arial"/>
          <w:b w:val="false"/>
          <w:i w:val="false"/>
          <w:caps w:val="false"/>
          <w:smallCaps w:val="false"/>
          <w:color w:val="000000"/>
          <w:spacing w:val="0"/>
          <w:sz w:val="22"/>
          <w:szCs w:val="22"/>
        </w:rPr>
        <w:t xml:space="preserve">e taux de bonheur des pays </w:t>
      </w:r>
      <w:r>
        <w:rPr>
          <w:rFonts w:ascii="Arial" w:hAnsi="Arial"/>
          <w:b w:val="false"/>
          <w:i w:val="false"/>
          <w:caps w:val="false"/>
          <w:smallCaps w:val="false"/>
          <w:color w:val="000000"/>
          <w:spacing w:val="0"/>
          <w:sz w:val="22"/>
          <w:szCs w:val="22"/>
        </w:rPr>
        <w:t>initialement mesuré à l’aide d’</w:t>
      </w:r>
      <w:r>
        <w:rPr>
          <w:rFonts w:ascii="Arial" w:hAnsi="Arial"/>
          <w:b w:val="false"/>
          <w:i w:val="false"/>
          <w:caps w:val="false"/>
          <w:smallCaps w:val="false"/>
          <w:color w:val="000000"/>
          <w:spacing w:val="0"/>
          <w:sz w:val="22"/>
          <w:szCs w:val="22"/>
        </w:rPr>
        <w:t xml:space="preserve">une échelle de 0 à 10 </w:t>
      </w:r>
      <w:r>
        <w:rPr>
          <w:rFonts w:ascii="Arial" w:hAnsi="Arial"/>
          <w:b w:val="false"/>
          <w:i w:val="false"/>
          <w:caps w:val="false"/>
          <w:smallCaps w:val="false"/>
          <w:color w:val="000000"/>
          <w:spacing w:val="0"/>
          <w:sz w:val="22"/>
          <w:szCs w:val="22"/>
        </w:rPr>
        <w:t xml:space="preserve">a été converti pour être se situer sur </w:t>
      </w:r>
      <w:r>
        <w:rPr>
          <w:rFonts w:ascii="Arial" w:hAnsi="Arial"/>
          <w:b w:val="false"/>
          <w:i w:val="false"/>
          <w:caps w:val="false"/>
          <w:smallCaps w:val="false"/>
          <w:color w:val="000000"/>
          <w:spacing w:val="0"/>
          <w:sz w:val="22"/>
          <w:szCs w:val="22"/>
        </w:rPr>
        <w:t xml:space="preserve">une échelle de 0 à 100. De plus, le score moyen </w:t>
      </w:r>
      <w:r>
        <w:rPr>
          <w:rFonts w:ascii="Arial" w:hAnsi="Arial"/>
          <w:b w:val="false"/>
          <w:i w:val="false"/>
          <w:caps w:val="false"/>
          <w:smallCaps w:val="false"/>
          <w:color w:val="000000"/>
          <w:spacing w:val="0"/>
          <w:sz w:val="22"/>
          <w:szCs w:val="22"/>
        </w:rPr>
        <w:t>pondéré du bonheur a été calculé</w:t>
      </w:r>
      <w:r>
        <w:rPr>
          <w:rFonts w:ascii="Arial" w:hAnsi="Arial"/>
          <w:b w:val="false"/>
          <w:i w:val="false"/>
          <w:caps w:val="false"/>
          <w:smallCaps w:val="false"/>
          <w:color w:val="000000"/>
          <w:spacing w:val="0"/>
          <w:sz w:val="22"/>
          <w:szCs w:val="22"/>
        </w:rPr>
        <w:t xml:space="preserve"> en utilisant la population des pays comme poids pour quatre régions (telles que définies par Gapminder : </w:t>
      </w:r>
      <w:r>
        <w:rPr>
          <w:rFonts w:ascii="Arial" w:hAnsi="Arial"/>
          <w:b w:val="false"/>
          <w:i w:val="false"/>
          <w:caps w:val="false"/>
          <w:smallCaps w:val="false"/>
          <w:color w:val="000000"/>
          <w:spacing w:val="0"/>
          <w:sz w:val="22"/>
          <w:szCs w:val="22"/>
        </w:rPr>
        <w:t>Asie, Europe, Afrique, Amérique</w:t>
      </w:r>
      <w:r>
        <w:rPr>
          <w:rFonts w:ascii="Arial" w:hAnsi="Arial"/>
          <w:b w:val="false"/>
          <w:i w:val="false"/>
          <w:caps w:val="false"/>
          <w:smallCaps w:val="false"/>
          <w:color w:val="000000"/>
          <w:spacing w:val="0"/>
          <w:sz w:val="22"/>
          <w:szCs w:val="22"/>
        </w:rPr>
        <w:t>)</w:t>
      </w:r>
      <w:r>
        <w:rPr>
          <w:rFonts w:ascii="Arial" w:hAnsi="Arial"/>
          <w:color w:val="000000"/>
          <w:sz w:val="22"/>
          <w:szCs w:val="22"/>
        </w:rPr>
        <w:t xml:space="preserve"> </w:t>
      </w:r>
    </w:p>
    <w:p>
      <w:pPr>
        <w:pStyle w:val="Normal"/>
        <w:pBdr>
          <w:bottom w:val="single" w:sz="6" w:space="1" w:color="000000"/>
        </w:pBdr>
        <w:spacing w:before="0" w:after="160"/>
        <w:rPr>
          <w:color w:val="000000"/>
          <w:sz w:val="22"/>
          <w:szCs w:val="22"/>
        </w:rPr>
      </w:pPr>
      <w:r>
        <w:rPr>
          <w:rFonts w:ascii="Arial" w:hAnsi="Arial"/>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1"/>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4f0ec7"/>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LibreOffice/7.0.3.1$Windows_X86_64 LibreOffice_project/d7547858d014d4cf69878db179d326fc3483e082</Application>
  <Pages>2</Pages>
  <Words>531</Words>
  <Characters>2612</Characters>
  <CharactersWithSpaces>3105</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2022-02-13T11:55:00Z</dcterms:created>
  <dc:creator>eva jaber</dc:creator>
  <dc:description/>
  <dc:language>en-GB</dc:language>
  <cp:lastModifiedBy/>
  <dcterms:modified xsi:type="dcterms:W3CDTF">2022-02-21T11:15:58Z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