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us1k6xvgf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Child Drawing Analysis Questionnaire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Review the drawing and check all that apply. Multiple selections are allowed.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tj84jr58z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🧍 Human Figure Characteristics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 hands missing, cut off, or extremely small?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Potential indicator of helplessness, loss of agency, or abuse.</w:t>
        <w:br w:type="textWrapping"/>
      </w:r>
      <w:r w:rsidDel="00000000" w:rsidR="00000000" w:rsidRPr="00000000">
        <w:rPr>
          <w:rtl w:val="0"/>
        </w:rPr>
        <w:t xml:space="preserve"> ✔️ Reference: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PMC9221832 - NCBI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 arms disproportionately large or used aggressively?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May indicate exposure to physical aggression or internalized anger.</w:t>
        <w:br w:type="textWrapping"/>
      </w:r>
      <w:r w:rsidDel="00000000" w:rsidR="00000000" w:rsidRPr="00000000">
        <w:rPr>
          <w:rtl w:val="0"/>
        </w:rPr>
        <w:t xml:space="preserve"> ✔️ Reference: [Lev-Wiesel &amp; Liraz, 2007]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the neck missing or the head detached from the body?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Associated with trauma, disassociation, or abuse.</w:t>
        <w:br w:type="textWrapping"/>
      </w:r>
      <w:r w:rsidDel="00000000" w:rsidR="00000000" w:rsidRPr="00000000">
        <w:rPr>
          <w:rtl w:val="0"/>
        </w:rPr>
        <w:t xml:space="preserve"> ✔️ Reference: Allen &amp; Tussey, 2012; Dillenburger, 2005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 legs tightly closed or crossed unnaturally?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May reflect sexual discomfort, shame, or trauma.</w:t>
        <w:br w:type="textWrapping"/>
      </w:r>
      <w:r w:rsidDel="00000000" w:rsidR="00000000" w:rsidRPr="00000000">
        <w:rPr>
          <w:rtl w:val="0"/>
        </w:rPr>
        <w:t xml:space="preserve"> ✔️ Reference: Allen &amp; Tussey, 2012; Sidun &amp; Rosenthal, 1987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there genitalia depicted or suggested (e.g., emphasis, exposure, or detail)?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significant red flag, especially if unsolicited or highly detailed.</w:t>
        <w:br w:type="textWrapping"/>
      </w:r>
      <w:r w:rsidDel="00000000" w:rsidR="00000000" w:rsidRPr="00000000">
        <w:rPr>
          <w:rtl w:val="0"/>
        </w:rPr>
        <w:t xml:space="preserve"> ✔️ Reference: Identifying Sexually Abused Children Through Art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zchr1a5km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👁️ Facial Features and Expression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the face sad, crying, or lacks eyes or mouth?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 suggest emotional withdrawal or trauma.</w:t>
        <w:br w:type="textWrapping"/>
      </w:r>
      <w:r w:rsidDel="00000000" w:rsidR="00000000" w:rsidRPr="00000000">
        <w:rPr>
          <w:rtl w:val="0"/>
        </w:rPr>
        <w:t xml:space="preserve"> ✔️ Reference: Koppitz’s Emotional Indicators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the mouth shown sealed, sewn, or missing entirely?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May symbolize silencing or fear of speaking out.</w:t>
        <w:br w:type="textWrapping"/>
      </w:r>
      <w:r w:rsidDel="00000000" w:rsidR="00000000" w:rsidRPr="00000000">
        <w:rPr>
          <w:rtl w:val="0"/>
        </w:rPr>
        <w:t xml:space="preserve"> ✔️ Reference: Draw-A-Person Test interpretations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 ears overly large or exaggerated?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Could indicate hypervigilance or alertness to danger.</w:t>
        <w:br w:type="textWrapping"/>
      </w:r>
      <w:r w:rsidDel="00000000" w:rsidR="00000000" w:rsidRPr="00000000">
        <w:rPr>
          <w:rtl w:val="0"/>
        </w:rPr>
        <w:t xml:space="preserve"> ✔️ Reference: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PMC9221832 - NCBI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tqf4xa31i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🏠 House-Tree-Person (HTP) and Environmental Symbols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the house missing doors or windows?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Often interpreted as a lack of escape or isolation.</w:t>
        <w:br w:type="textWrapping"/>
      </w:r>
      <w:r w:rsidDel="00000000" w:rsidR="00000000" w:rsidRPr="00000000">
        <w:rPr>
          <w:rtl w:val="0"/>
        </w:rPr>
        <w:t xml:space="preserve"> ✔️ Reference: Scott, University of Wisconsin Study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there elements like dark clouds, excessive rain, or bars on the house/tree?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Symbolize fear, threat, or emotional confinement.</w:t>
        <w:br w:type="textWrapping"/>
      </w:r>
      <w:r w:rsidDel="00000000" w:rsidR="00000000" w:rsidRPr="00000000">
        <w:rPr>
          <w:rtl w:val="0"/>
        </w:rPr>
        <w:t xml:space="preserve"> ✔️ Reference: DAP and HTP indicators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trees drawn without roots or very small in size?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Might indicate a lack of grounding, support, or identity.</w:t>
        <w:br w:type="textWrapping"/>
      </w:r>
      <w:r w:rsidDel="00000000" w:rsidR="00000000" w:rsidRPr="00000000">
        <w:rPr>
          <w:rtl w:val="0"/>
        </w:rPr>
        <w:t xml:space="preserve"> ✔️ Reference: Generating Psychological Analysis Tables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5bry7ah0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Symbolic and Emotional Indicators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there phallic shapes (e.g., elongated wedges, circles, weapons)?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May unconsciously reflect sexual exposure or confusion.</w:t>
        <w:br w:type="textWrapping"/>
      </w:r>
      <w:r w:rsidDel="00000000" w:rsidR="00000000" w:rsidRPr="00000000">
        <w:rPr>
          <w:rtl w:val="0"/>
        </w:rPr>
        <w:t xml:space="preserve"> ✔️ Reference: Malchiodi, 1990; Sidun &amp; Rosenthal, 1987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there excessive use of red, black, or dark colors?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Common in drawings of children with high emotional distress.</w:t>
        <w:br w:type="textWrapping"/>
      </w:r>
      <w:r w:rsidDel="00000000" w:rsidR="00000000" w:rsidRPr="00000000">
        <w:rPr>
          <w:rtl w:val="0"/>
        </w:rPr>
        <w:t xml:space="preserve"> ✔️ Reference: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Frontiers in Psychology, 2020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there multiple hearts, wedges, or sad emojis/emoticons?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May represent self-loathing or distorted affection.</w:t>
        <w:br w:type="textWrapping"/>
      </w:r>
      <w:r w:rsidDel="00000000" w:rsidR="00000000" w:rsidRPr="00000000">
        <w:rPr>
          <w:rtl w:val="0"/>
        </w:rPr>
        <w:t xml:space="preserve"> ✔️ Reference: UW-Whitewater study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the drawing show isolation (e.g., child far from family figures or alone)?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Associated with emotional neglect or detachment.</w:t>
        <w:br w:type="textWrapping"/>
      </w:r>
      <w:r w:rsidDel="00000000" w:rsidR="00000000" w:rsidRPr="00000000">
        <w:rPr>
          <w:rtl w:val="0"/>
        </w:rPr>
        <w:t xml:space="preserve"> ✔️ Reference: Draw-A-Person and HTP evaluations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sdjy1glop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APA References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Allen, S. M., &amp; Tussey, C. M. (2012). Can projective drawings detect if a child experienced sexual or physical abuse? A systematic review of the literature. </w:t>
      </w:r>
      <w:r w:rsidDel="00000000" w:rsidR="00000000" w:rsidRPr="00000000">
        <w:rPr>
          <w:i w:val="1"/>
          <w:rtl w:val="0"/>
        </w:rPr>
        <w:t xml:space="preserve">The Journal of the American Academy of Psychiatry and the Law, 40</w:t>
      </w:r>
      <w:r w:rsidDel="00000000" w:rsidR="00000000" w:rsidRPr="00000000">
        <w:rPr>
          <w:rtl w:val="0"/>
        </w:rPr>
        <w:t xml:space="preserve">(3), 412–423.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Dillenburger, K. (2005). Child abuse and trauma: Risk and resilience in the family. </w:t>
      </w:r>
      <w:r w:rsidDel="00000000" w:rsidR="00000000" w:rsidRPr="00000000">
        <w:rPr>
          <w:i w:val="1"/>
          <w:rtl w:val="0"/>
        </w:rPr>
        <w:t xml:space="preserve">British Journal of Social Work, 35</w:t>
      </w:r>
      <w:r w:rsidDel="00000000" w:rsidR="00000000" w:rsidRPr="00000000">
        <w:rPr>
          <w:rtl w:val="0"/>
        </w:rPr>
        <w:t xml:space="preserve">(4), 643–663. https://doi.org/10.1093/bjsw/bch265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Goldner, L., &amp; Lev-Wiesel, R. (2020). Can artificial intelligence achieve human-level performance? A pilot study of childhood sexual abuse detection in self-figure drawings. </w:t>
      </w:r>
      <w:r w:rsidDel="00000000" w:rsidR="00000000" w:rsidRPr="00000000">
        <w:rPr>
          <w:i w:val="1"/>
          <w:rtl w:val="0"/>
        </w:rPr>
        <w:t xml:space="preserve">Frontiers in Psychology, 11</w:t>
      </w:r>
      <w:r w:rsidDel="00000000" w:rsidR="00000000" w:rsidRPr="00000000">
        <w:rPr>
          <w:rtl w:val="0"/>
        </w:rPr>
        <w:t xml:space="preserve">, 562972.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https://doi.org/10.3389/fpsyg.2020.562972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Hibbard, R. A., &amp; Hartman, G. L. (1990). Emotional indicators in human figure drawings of sexually victimized and nonabused children. </w:t>
      </w:r>
      <w:r w:rsidDel="00000000" w:rsidR="00000000" w:rsidRPr="00000000">
        <w:rPr>
          <w:i w:val="1"/>
          <w:rtl w:val="0"/>
        </w:rPr>
        <w:t xml:space="preserve">Child Abuse &amp; Neglect, 14</w:t>
      </w:r>
      <w:r w:rsidDel="00000000" w:rsidR="00000000" w:rsidRPr="00000000">
        <w:rPr>
          <w:rtl w:val="0"/>
        </w:rPr>
        <w:t xml:space="preserve">(2), 223–232. https://doi.org/10.1016/0145-2134(90)90034-N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Ionio, C., &amp; Mascheroni, E. (2021). Psychological well-being and graphic representations of self in child victims of violence. </w:t>
      </w:r>
      <w:r w:rsidDel="00000000" w:rsidR="00000000" w:rsidRPr="00000000">
        <w:rPr>
          <w:i w:val="1"/>
          <w:rtl w:val="0"/>
        </w:rPr>
        <w:t xml:space="preserve">Psychology of Violence, 11</w:t>
      </w:r>
      <w:r w:rsidDel="00000000" w:rsidR="00000000" w:rsidRPr="00000000">
        <w:rPr>
          <w:rtl w:val="0"/>
        </w:rPr>
        <w:t xml:space="preserve">(1), 25–35. https://doi.org/10.1037/vio0000305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Koppitz, E. M. (1968). </w:t>
      </w:r>
      <w:r w:rsidDel="00000000" w:rsidR="00000000" w:rsidRPr="00000000">
        <w:rPr>
          <w:i w:val="1"/>
          <w:rtl w:val="0"/>
        </w:rPr>
        <w:t xml:space="preserve">Psychological evaluation of children's human figure drawings</w:t>
      </w:r>
      <w:r w:rsidDel="00000000" w:rsidR="00000000" w:rsidRPr="00000000">
        <w:rPr>
          <w:rtl w:val="0"/>
        </w:rPr>
        <w:t xml:space="preserve">. Grune &amp; Stratton.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Lev-Wiesel, R., &amp; Liraz, R. (2007). Indicators of sexual abuse in children's drawings: Gender differences. </w:t>
      </w:r>
      <w:r w:rsidDel="00000000" w:rsidR="00000000" w:rsidRPr="00000000">
        <w:rPr>
          <w:i w:val="1"/>
          <w:rtl w:val="0"/>
        </w:rPr>
        <w:t xml:space="preserve">Arts in Psychotherapy, 34</w:t>
      </w:r>
      <w:r w:rsidDel="00000000" w:rsidR="00000000" w:rsidRPr="00000000">
        <w:rPr>
          <w:rtl w:val="0"/>
        </w:rPr>
        <w:t xml:space="preserve">(2), 163–173. https://doi.org/10.1016/j.aip.2006.10.005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Malchiodi, C. A. (1990). </w:t>
      </w:r>
      <w:r w:rsidDel="00000000" w:rsidR="00000000" w:rsidRPr="00000000">
        <w:rPr>
          <w:i w:val="1"/>
          <w:rtl w:val="0"/>
        </w:rPr>
        <w:t xml:space="preserve">Breaking the silence: Art therapy with children from violent homes</w:t>
      </w:r>
      <w:r w:rsidDel="00000000" w:rsidR="00000000" w:rsidRPr="00000000">
        <w:rPr>
          <w:rtl w:val="0"/>
        </w:rPr>
        <w:t xml:space="preserve">. Brunner/Mazel.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Messaoud, R., &amp; Aouria, M. (2024). The AI-driven age detection in children's drawings: A deep learning approach for late childhood assessment. </w:t>
      </w:r>
      <w:r w:rsidDel="00000000" w:rsidR="00000000" w:rsidRPr="00000000">
        <w:rPr>
          <w:i w:val="1"/>
          <w:rtl w:val="0"/>
        </w:rPr>
        <w:t xml:space="preserve">Artificial Intelligence in Mental Health Research</w:t>
      </w:r>
      <w:r w:rsidDel="00000000" w:rsidR="00000000" w:rsidRPr="00000000">
        <w:rPr>
          <w:rtl w:val="0"/>
        </w:rPr>
        <w:t xml:space="preserve">, 4(1), 15–32.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Noble-Carr, D., Moore, T., &amp; McArthur, M. (2017). Children's experiences of domestic and family violence: Findings from a meta-synthesis. </w:t>
      </w:r>
      <w:r w:rsidDel="00000000" w:rsidR="00000000" w:rsidRPr="00000000">
        <w:rPr>
          <w:i w:val="1"/>
          <w:rtl w:val="0"/>
        </w:rPr>
        <w:t xml:space="preserve">Child &amp; Family Social Work, 22</w:t>
      </w:r>
      <w:r w:rsidDel="00000000" w:rsidR="00000000" w:rsidRPr="00000000">
        <w:rPr>
          <w:rtl w:val="0"/>
        </w:rPr>
        <w:t xml:space="preserve">(2), 442–453. https://doi.org/10.1111/cfs.12268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Sidun, N. M., &amp; Rosenthal, R. (1987). Drawing indicators of child sexual abuse: A review. </w:t>
      </w:r>
      <w:r w:rsidDel="00000000" w:rsidR="00000000" w:rsidRPr="00000000">
        <w:rPr>
          <w:i w:val="1"/>
          <w:rtl w:val="0"/>
        </w:rPr>
        <w:t xml:space="preserve">Child Abuse &amp; Neglect, 11</w:t>
      </w:r>
      <w:r w:rsidDel="00000000" w:rsidR="00000000" w:rsidRPr="00000000">
        <w:rPr>
          <w:rtl w:val="0"/>
        </w:rPr>
        <w:t xml:space="preserve">(4), 499–504. https://doi.org/10.1016/0145-2134(87)90035-8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Sold, A., Raiter, D., &amp; Abu-Rahma, T. (2024). Arab mothers’ viewpoints: Why their children are removed from home. </w:t>
      </w:r>
      <w:r w:rsidDel="00000000" w:rsidR="00000000" w:rsidRPr="00000000">
        <w:rPr>
          <w:i w:val="1"/>
          <w:rtl w:val="0"/>
        </w:rPr>
        <w:t xml:space="preserve">International Journal of Child and Family Welfare, 27</w:t>
      </w:r>
      <w:r w:rsidDel="00000000" w:rsidR="00000000" w:rsidRPr="00000000">
        <w:rPr>
          <w:rtl w:val="0"/>
        </w:rPr>
        <w:t xml:space="preserve">(1), 44–61.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Veltman, M., &amp; Browne, K. D. (2002). Three decades of child maltreatment research: Implications for the school years. </w:t>
      </w:r>
      <w:r w:rsidDel="00000000" w:rsidR="00000000" w:rsidRPr="00000000">
        <w:rPr>
          <w:i w:val="1"/>
          <w:rtl w:val="0"/>
        </w:rPr>
        <w:t xml:space="preserve">Trauma, Violence, &amp; Abuse, 3</w:t>
      </w:r>
      <w:r w:rsidDel="00000000" w:rsidR="00000000" w:rsidRPr="00000000">
        <w:rPr>
          <w:rtl w:val="0"/>
        </w:rPr>
        <w:t xml:space="preserve">(3), 215–239. https://doi.org/10.1177/1524838002237334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Wright, L., &amp; Black, M. (2016). Assessment tools for children’s exposure to violence. </w:t>
      </w:r>
      <w:r w:rsidDel="00000000" w:rsidR="00000000" w:rsidRPr="00000000">
        <w:rPr>
          <w:i w:val="1"/>
          <w:rtl w:val="0"/>
        </w:rPr>
        <w:t xml:space="preserve">Office of Juvenile Justice and Delinquency Prevention</w:t>
      </w:r>
      <w:r w:rsidDel="00000000" w:rsidR="00000000" w:rsidRPr="00000000">
        <w:rPr>
          <w:rtl w:val="0"/>
        </w:rPr>
        <w:t xml:space="preserve"> (OJJDP). https://ojjdp.ojp.gov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Zand, D. H., &amp; Stewart, L. (2021). Identifying sexually abused children through their art. </w:t>
      </w:r>
      <w:r w:rsidDel="00000000" w:rsidR="00000000" w:rsidRPr="00000000">
        <w:rPr>
          <w:i w:val="1"/>
          <w:rtl w:val="0"/>
        </w:rPr>
        <w:t xml:space="preserve">Journal of Child Sexual Abuse, 30</w:t>
      </w:r>
      <w:r w:rsidDel="00000000" w:rsidR="00000000" w:rsidRPr="00000000">
        <w:rPr>
          <w:rtl w:val="0"/>
        </w:rPr>
        <w:t xml:space="preserve">(4), 428–442. https://doi.org/10.1080/10538712.2021.1913143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4f81bd" w:space="0" w:sz="5" w:val="single"/>
          <w:right w:color="auto" w:space="0" w:sz="0" w:val="none"/>
        </w:pBdr>
        <w:spacing w:after="300" w:before="240" w:line="16.363636363636363" w:lineRule="auto"/>
        <w:rPr>
          <w:rFonts w:ascii="Times New Roman" w:cs="Times New Roman" w:eastAsia="Times New Roman" w:hAnsi="Times New Roman"/>
          <w:color w:val="17365d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52"/>
          <w:szCs w:val="52"/>
          <w:rtl w:val="0"/>
        </w:rPr>
        <w:t xml:space="preserve">Checklist for Analyzing Children’s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4f81bd" w:space="0" w:sz="5" w:val="single"/>
          <w:right w:color="auto" w:space="0" w:sz="0" w:val="none"/>
        </w:pBdr>
        <w:spacing w:after="300" w:before="240" w:line="16.363636363636363" w:lineRule="auto"/>
        <w:rPr>
          <w:rFonts w:ascii="Times New Roman" w:cs="Times New Roman" w:eastAsia="Times New Roman" w:hAnsi="Times New Roman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4f81bd" w:space="0" w:sz="5" w:val="single"/>
          <w:right w:color="auto" w:space="0" w:sz="0" w:val="none"/>
        </w:pBdr>
        <w:spacing w:after="300" w:before="240" w:line="16.363636363636363" w:lineRule="auto"/>
        <w:rPr>
          <w:rFonts w:ascii="Times New Roman" w:cs="Times New Roman" w:eastAsia="Times New Roman" w:hAnsi="Times New Roman"/>
          <w:color w:val="17365d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52"/>
          <w:szCs w:val="52"/>
          <w:rtl w:val="0"/>
        </w:rPr>
        <w:t xml:space="preserve">Drawings for Abuse Indicators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Are any genital areas explicitly drawn or emphasized on the figures?</w:t>
        <w:br w:type="textWrapping"/>
        <w:t xml:space="preserve">Source: Hibbard et al. (1987); Jaroenkajornkij et al. (2022)</w:t>
        <w:br w:type="textWrapping"/>
        <w:t xml:space="preserve">Link: https://pubmed.ncbi.nlm.nih.gov/2182681/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Do figures in the drawing have missing or distorted hands or arms?</w:t>
        <w:br w:type="textWrapping"/>
        <w:t xml:space="preserve">Source: Koppitz (1968); Veltman &amp; Browne (2002)</w:t>
        <w:br w:type="textWrapping"/>
        <w:t xml:space="preserve">Link: https://www.ncbi.nlm.nih.gov/books/NBK69201/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Are the legs tightly pressed together in self or other figures?</w:t>
        <w:br w:type="textWrapping"/>
        <w:t xml:space="preserve">Source: Hibbard &amp; Hartman (1990); Emotional indicators in human figure drawings of sexually victimized and nonabused children</w:t>
        <w:br w:type="textWrapping"/>
        <w:t xml:space="preserve">Link: https://pubmed.ncbi.nlm.nih.gov/2182681/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Is one parent noticeably missing from the family drawing?</w:t>
        <w:br w:type="textWrapping"/>
        <w:t xml:space="preserve">Source: Piperno et al. (2007)</w:t>
        <w:br w:type="textWrapping"/>
        <w:t xml:space="preserve">Link: https://pubmed.ncbi.nlm.nih.gov/17401609/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Are the family members positioned far apart, with the child drawn distant or isolated?</w:t>
        <w:br w:type="textWrapping"/>
        <w:t xml:space="preserve">Source: Veltman &amp; Browne (2002)</w:t>
        <w:br w:type="textWrapping"/>
        <w:t xml:space="preserve">Link: https://pmc.ncbi.nlm.nih.gov/articles/PMC8114234/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Are there symbols of aggression (e.g., weapons, monsters, storms)?</w:t>
        <w:br w:type="textWrapping"/>
        <w:t xml:space="preserve">Source: Veltman &amp; Browne (2002); Clarke et al. (2002)</w:t>
        <w:br w:type="textWrapping"/>
        <w:t xml:space="preserve">Link: https://www.ncbi.nlm.nih.gov/books/NBK69201/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Are any figures drawn crying, showing sadness, or with scribbled-out facial features?</w:t>
        <w:br w:type="textWrapping"/>
        <w:t xml:space="preserve">Source: Lev-Wiesel (2018); Goldner &amp; Scharf (2012)</w:t>
        <w:br w:type="textWrapping"/>
        <w:t xml:space="preserve">Link: https://www.frontiersin.org/articles/10.3389/fpsyg.2020.562972/full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Does the drawing include a dark or chaotic background (e.g., rain, black sky)?</w:t>
        <w:br w:type="textWrapping"/>
        <w:t xml:space="preserve">Source: Evaluation of family drawings of physically and sexually abused children - PubMed</w:t>
        <w:br w:type="textWrapping"/>
        <w:t xml:space="preserve">Link: https://pubmed.ncbi.nlm.nih.gov/17401609/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Are exaggerated body parts (especially head, teeth, hands) present in the drawing?</w:t>
        <w:br w:type="textWrapping"/>
        <w:t xml:space="preserve">Source: Naglieri et al. (1991); Jaroenkajornkij et al. (2022)</w:t>
        <w:br w:type="textWrapping"/>
        <w:t xml:space="preserve">Link: https://pmc.ncbi.nlm.nih.gov/articles/PMC9221832/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Does the drawing depict an act of violence or threat (e.g., hitting, yelling, pointing)?</w:t>
        <w:br w:type="textWrapping"/>
        <w:t xml:space="preserve">Source: Lev-Wiesel (2018); Veltman &amp; Browne (2003)</w:t>
        <w:br w:type="textWrapping"/>
        <w:t xml:space="preserve">Link: https://www.researchgate.net/publication/247201739_Identifying_childhood_abuse_through_favorite_kind_of_day_and_kinetic_family_drawings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rontiersin.org/articles/10.3389/fpsyg.2020.562972/full" TargetMode="External"/><Relationship Id="rId10" Type="http://schemas.openxmlformats.org/officeDocument/2006/relationships/hyperlink" Target="https://www.frontiersin.org/articles/10.3389/fpsyg.2020.562972/full" TargetMode="External"/><Relationship Id="rId13" Type="http://schemas.openxmlformats.org/officeDocument/2006/relationships/hyperlink" Target="https://doi.org/10.3389/fpsyg.2020.562972" TargetMode="External"/><Relationship Id="rId12" Type="http://schemas.openxmlformats.org/officeDocument/2006/relationships/hyperlink" Target="https://doi.org/10.3389/fpsyg.2020.5629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pmc/articles/PMC9221832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9221832/" TargetMode="External"/><Relationship Id="rId7" Type="http://schemas.openxmlformats.org/officeDocument/2006/relationships/hyperlink" Target="https://www.ncbi.nlm.nih.gov/pmc/articles/PMC9221832/" TargetMode="External"/><Relationship Id="rId8" Type="http://schemas.openxmlformats.org/officeDocument/2006/relationships/hyperlink" Target="https://www.ncbi.nlm.nih.gov/pmc/articles/PMC92218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