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2 of 3: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went through my first draft and corrected it in seven places. I marked where his corrections land.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86 billion neurons, 16 billion of them in the cortex, the wrinkled outer part that does the thinking. Nothing in the cortex checks the cortex. Instead, every intention has to pass through a bottleneck. In 1906 a scientist named Sherrington called it the final common path.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A report by James Anderson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t xml:space="preserve">Tamperproof. Nobody inside the club can bribe him or rewrite his list.</w:t>
      </w:r>
    </w:p>
    <w:p>
      <w:pPr>
        <w:pStyle w:val="ListParagraph"/>
        <w:numPr>
          <w:ilvl w:val="0"/>
          <w:numId w:val="2"/>
        </w:numPr>
        <w:spacing w:after="100" w:line="276" w:lineRule="auto"/>
      </w:pPr>
      <w:r>
        <w:t xml:space="preserve">Always invoked. Everyone goes past him. There is no side door and no window.</w:t>
      </w:r>
    </w:p>
    <w:p>
      <w:pPr>
        <w:pStyle w:val="ListParagraph"/>
        <w:numPr>
          <w:ilvl w:val="0"/>
          <w:numId w:val="2"/>
        </w:numPr>
        <w:spacing w:after="100" w:line="276" w:lineRule="auto"/>
      </w:pPr>
      <w:r>
        <w:t xml:space="preserve">Verifiable.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roughly 30 milliseconds,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LeDoux showed that it has a shortcut he called the low road. A rough, blurry copy of what your eyes see goes straight to the amygdala, skipping the slow, careful visual cortex. It is the fire alarm that goes off when you burn toast. Fast, sloppy and jumpy on purpose. Better a false flinch than a missed snake.</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the amygdala and a nearby region are weak, and the thinking is intact.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rPr>
          <w:b/>
          <w:bCs/>
        </w:rPr>
        <w:t xml:space="preserve">Efference copy.</w:t>
      </w:r>
      <w:r>
        <w:t xml:space="preserve"> Before you throw a ball, your brain sends a carbon copy of the throw to the cerebellum, a region at the back of the head, which predicts where the ball will land.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slam a global stop in roughly 150 to 200 milliseconds. In the 1980s Benjamin Libet showed something stranger: your brain starts preparing a movement a few hundred milliseconds before you are aware of intending it.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register hospitals and schools in war zones, and the Safe Schools Declaration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2025 downgraded them to warnings in the US. The pattern works. "Advisory" is how it dies.</w:t>
      </w:r>
    </w:p>
    <w:p>
      <w:pPr>
        <w:spacing w:after="160" w:line="276" w:lineRule="auto"/>
      </w:pPr>
      <w:r>
        <w:t xml:space="preserve">The limits, stated plainly:</w:t>
      </w:r>
    </w:p>
    <w:p>
      <w:pPr>
        <w:pStyle w:val="ListParagraph"/>
        <w:numPr>
          <w:ilvl w:val="0"/>
          <w:numId w:val="3"/>
        </w:numPr>
        <w:spacing w:after="100" w:line="276" w:lineRule="auto"/>
      </w:pPr>
      <w:r>
        <w:t xml:space="preserve">Map currency. A map that is six months stale protects a building that moved. A valid signature on the list proves who signed it, not that it is complete.</w:t>
      </w:r>
    </w:p>
    <w:p>
      <w:pPr>
        <w:pStyle w:val="ListParagraph"/>
        <w:numPr>
          <w:ilvl w:val="0"/>
          <w:numId w:val="3"/>
        </w:numPr>
        <w:spacing w:after="100" w:line="276" w:lineRule="auto"/>
      </w:pPr>
      <w:r>
        <w:t xml:space="preserve">Adversaries who park weapons next to schools. That is a policy decision, which is exactly where humans and their keys belong.</w:t>
      </w:r>
    </w:p>
    <w:p>
      <w:pPr>
        <w:pStyle w:val="ListParagraph"/>
        <w:numPr>
          <w:ilvl w:val="0"/>
          <w:numId w:val="3"/>
        </w:numPr>
        <w:spacing w:after="100" w:line="276" w:lineRule="auto"/>
      </w:pPr>
      <w:r>
        <w:t xml:space="preserve">Navigation spoofing,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3"/>
        </w:numPr>
        <w:spacing w:after="100" w:line="276" w:lineRule="auto"/>
      </w:pPr>
      <w:r>
        <w:t xml:space="preserve">Dangers nobody put on the list.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the assumptions register. For every input the gate relies on, it says who is allowed to vouch for it, how fresh it has to be, what to do when sources disagree, and what the hardware cannot check about it. The guarantee holds exactly as far as that list does. Not one inch further. I would rather say that out loud than pretend the chip knows things it does not.</w:t>
      </w:r>
    </w:p>
    <w:p>
      <w:pPr>
        <w:pStyle w:val="Heading1"/>
        <w:keepNext/>
      </w:pPr>
      <w:r>
        <w:t xml:space="preserve">Lies, seals, and the nuclear plant</w:t>
      </w:r>
    </w:p>
    <w:p>
      <w:pPr>
        <w:spacing w:after="160" w:line="276" w:lineRule="auto"/>
      </w:pPr>
      <w:r>
        <w:t xml:space="preserve">Falsehood is the hard one, and the brain does not solve it either. Stopping a false statement needs an oracle that knows the truth, and no brain has one. What the brain has is corroboration. One sense never triggers a high-stakes movement alone, which is why you look both ways before crossing. Above that sit other brains and institutions. The silicon lever is the same: actions you cannot undo are blocked when they rest on claims nobody has checked, a two-source rule applies at the device, and provenance, the record of where an output came from, is one of the inputs to the gate. Provenance does not make outputs true. It makes unverified outputs unable to pull a trigger.</w:t>
      </w:r>
    </w:p>
    <w:p>
      <w:pPr>
        <w:spacing w:after="160" w:line="276" w:lineRule="auto"/>
      </w:pPr>
      <w:r>
        <w:t xml:space="preserve">A word on what provenance can claim, because my first draft overclaimed it. A chip that signs the bytes leaving it proves that this device signed these bytes. That is like a courier signing for a package. It proves the courier handled the box. It does not prove the model produced what is inside; a hacked runtime could have put anything in the output buffer. Proving that a verified runtime packed the box is a second, separate claim. Proving that the box holds exactly what was ordered is a third claim that nobody has built yet. A signature is also a wax seal, not a dye in the paper. Copy the words onto a new sheet and the seal is gone. So the gate treats provenance the way it treats every other witness. It can keep the gate shut. It never opens it.</w:t>
      </w:r>
    </w:p>
    <w:p>
      <w:pPr>
        <w:spacing w:after="160" w:line="276" w:lineRule="auto"/>
      </w:pPr>
      <w:r>
        <w:t xml:space="preserve">The precedent is thirty years old. A nuclear plant has two separate systems. The control system runs the plant and can be as complicated as the engineers like. The safety system is simple, separate, certified and dumb, and it shuts the reactor down before the vessel bursts. The industry standards are IEC 61508 and 61511, and the emergency shutdown is called a SCRAM. Nobody in that field lets the control room grade its own homework. What we are designing is a safety system for AI actions, with the brain's tiering.</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4"/>
        </w:numPr>
        <w:spacing w:after="100" w:line="276" w:lineRule="auto"/>
      </w:pPr>
      <w:r>
        <w:t xml:space="preserve">The form fits the rule's limits.</w:t>
      </w:r>
    </w:p>
    <w:p>
      <w:pPr>
        <w:pStyle w:val="ListParagraph"/>
        <w:numPr>
          <w:ilvl w:val="0"/>
          <w:numId w:val="4"/>
        </w:numPr>
        <w:spacing w:after="100" w:line="276" w:lineRule="auto"/>
      </w:pPr>
      <w:r>
        <w:t xml:space="preserve">The witnesses the rule names have vouched for this exact form, freshly, under the rule's thresholds.</w:t>
      </w:r>
    </w:p>
    <w:p>
      <w:pPr>
        <w:pStyle w:val="ListParagraph"/>
        <w:numPr>
          <w:ilvl w:val="0"/>
          <w:numId w:val="4"/>
        </w:numPr>
        <w:spacing w:after="100" w:line="276" w:lineRule="auto"/>
      </w:pPr>
      <w:r>
        <w:t xml:space="preserve">The budget the rule names has room for the amount.</w:t>
      </w:r>
    </w:p>
    <w:p>
      <w:pPr>
        <w:pStyle w:val="ListParagraph"/>
        <w:numPr>
          <w:ilvl w:val="0"/>
          <w:numId w:val="4"/>
        </w:numPr>
        <w:spacing w:after="100" w:line="276" w:lineRule="auto"/>
      </w:pPr>
      <w:r>
        <w:t xml:space="preserve">No alarm has been pulled.</w:t>
      </w:r>
    </w:p>
    <w:p>
      <w:pPr>
        <w:pStyle w:val="ListParagraph"/>
        <w:numPr>
          <w:ilvl w:val="0"/>
          <w:numId w:val="4"/>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5"/>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5"/>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5"/>
        </w:numPr>
        <w:spacing w:after="100" w:line="276" w:lineRule="auto"/>
      </w:pPr>
      <w:r>
        <w:t xml:space="preserve">The lists and sensors the rules compare against are trustworthy, fresh and consistent, as the assumptions register says.</w:t>
      </w:r>
    </w:p>
    <w:p>
      <w:pPr>
        <w:pStyle w:val="ListParagraph"/>
        <w:numPr>
          <w:ilvl w:val="0"/>
          <w:numId w:val="5"/>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r>
        <w:t xml:space="preserve">Part 3 of this series is the design I am theorizing and proposing: where each layer of the stack goes in silicon, the theory each piece rests on, how the pieces talk to each other and to the model, how they sit against the GPU, the CPU, memory and storage, and the experiments that would prove or disprove each claim.</w:t>
      </w:r>
    </w:p>
    <w:p>
      <w:pPr>
        <w:spacing w:after="160" w:line="276" w:lineRule="auto"/>
      </w:pPr>
      <w:r>
        <w:t xml:space="preserve">It builds on the layer model and the reference stack from </w:t>
      </w:r>
      <w:hyperlink w:history="1" r:id="rId2kpkiqcr0pxypa_p-rk0m">
        <w:r>
          <w:rPr>
            <w:rStyle w:val="Hyperlink"/>
          </w:rPr>
          <w:t xml:space="preserve">A Multi-Layer Approach to AI Safety</w:t>
        </w:r>
      </w:hyperlink>
      <w:r>
        <w:t xml:space="preserve">, the first post in my repository. The reviewer's seven corrections are built into it, and the biggest one is the shape of the promise: a security contract at the point of action, with the chip-side silicon as containment and provenance, rather than a promise about a chip. The code that runs that contract today, with the review's five demonstrations as tests, is in the same repository: </w:t>
      </w:r>
      <w:r>
        <w:rPr>
          <w:rFonts w:ascii="Consolas" w:cs="Consolas" w:eastAsia="Consolas" w:hAnsi="Consolas"/>
          <w:sz w:val="20"/>
          <w:szCs w:val="20"/>
        </w:rPr>
        <w:t xml:space="preserve">./run.sh</w:t>
      </w:r>
      <w:r>
        <w:t xml:space="preserve">, fifty-one tests, seventy-five attacks, under a minute.</w:t>
      </w:r>
    </w:p>
    <w:p>
      <w:pPr>
        <w:pStyle w:val="Heading1"/>
        <w:keepNext/>
      </w:pPr>
      <w:r>
        <w:t xml:space="preserve">Further reading</w:t>
      </w:r>
    </w:p>
    <w:p>
      <w:pPr>
        <w:pStyle w:val="ListParagraph"/>
        <w:numPr>
          <w:ilvl w:val="0"/>
          <w:numId w:val="3"/>
        </w:numPr>
        <w:spacing w:after="100" w:line="276" w:lineRule="auto"/>
      </w:pPr>
      <w:r>
        <w:t xml:space="preserve">J. P. Anderson, </w:t>
      </w:r>
      <w:r>
        <w:rPr>
          <w:i/>
          <w:iCs/>
        </w:rPr>
        <w:t xml:space="preserve">Computer Security Technology Planning Study</w:t>
      </w:r>
      <w:r>
        <w:t xml:space="preserve"> (1972), the origin of the reference-monitor concept.</w:t>
      </w:r>
    </w:p>
    <w:p>
      <w:pPr>
        <w:pStyle w:val="ListParagraph"/>
        <w:numPr>
          <w:ilvl w:val="0"/>
          <w:numId w:val="3"/>
        </w:numPr>
        <w:spacing w:after="100" w:line="276" w:lineRule="auto"/>
      </w:pPr>
      <w:r>
        <w:t xml:space="preserve">C. S. Sherrington, </w:t>
      </w:r>
      <w:r>
        <w:rPr>
          <w:i/>
          <w:iCs/>
        </w:rPr>
        <w:t xml:space="preserve">The Integrative Action of the Nervous System</w:t>
      </w:r>
      <w:r>
        <w:t xml:space="preserve"> (1906), the final common path.</w:t>
      </w:r>
    </w:p>
    <w:p>
      <w:pPr>
        <w:pStyle w:val="ListParagraph"/>
        <w:numPr>
          <w:ilvl w:val="0"/>
          <w:numId w:val="3"/>
        </w:numPr>
        <w:spacing w:after="100" w:line="276" w:lineRule="auto"/>
      </w:pPr>
      <w:r>
        <w:t xml:space="preserve">J. LeDoux, </w:t>
      </w:r>
      <w:r>
        <w:rPr>
          <w:i/>
          <w:iCs/>
        </w:rPr>
        <w:t xml:space="preserve">The Emotional Brain</w:t>
      </w:r>
      <w:r>
        <w:t xml:space="preserve"> (1996), the amygdala's low road.</w:t>
      </w:r>
    </w:p>
    <w:p>
      <w:pPr>
        <w:pStyle w:val="ListParagraph"/>
        <w:numPr>
          <w:ilvl w:val="0"/>
          <w:numId w:val="3"/>
        </w:numPr>
        <w:spacing w:after="100" w:line="276" w:lineRule="auto"/>
      </w:pPr>
      <w:r>
        <w:t xml:space="preserve">B. Libet et al., "Time of conscious intention to act in relation to onset of cerebral activity," </w:t>
      </w:r>
      <w:r>
        <w:rPr>
          <w:i/>
          <w:iCs/>
        </w:rPr>
        <w:t xml:space="preserve">Brain</w:t>
      </w:r>
      <w:r>
        <w:t xml:space="preserve"> (1983).</w:t>
      </w:r>
    </w:p>
    <w:p>
      <w:pPr>
        <w:pStyle w:val="ListParagraph"/>
        <w:numPr>
          <w:ilvl w:val="0"/>
          <w:numId w:val="3"/>
        </w:numPr>
        <w:spacing w:after="100" w:line="276" w:lineRule="auto"/>
      </w:pPr>
      <w:r>
        <w:t xml:space="preserve">IEC 61508 and IEC 61511, functional safety of safety instrumented systems.</w:t>
      </w:r>
    </w:p>
    <w:p>
      <w:pPr>
        <w:pStyle w:val="ListParagraph"/>
        <w:numPr>
          <w:ilvl w:val="0"/>
          <w:numId w:val="3"/>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3"/>
        </w:numPr>
        <w:spacing w:after="100" w:line="276" w:lineRule="auto"/>
      </w:pPr>
      <w:hyperlink w:history="1" r:id="rIdelmqplua-gbq4nqdpfaee">
        <w:r>
          <w:rPr>
            <w:rStyle w:val="Hyperlink"/>
          </w:rPr>
          <w:t xml:space="preserve">NVIDIA OpenShell on GitHub</w:t>
        </w:r>
      </w:hyperlink>
      <w:r>
        <w:t xml:space="preserve">, a kernel-level policy sandbox for agents.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kpkiqcr0pxypa_p-rk0m" Type="http://schemas.openxmlformats.org/officeDocument/2006/relationships/hyperlink" Target="01-a-multi-layer-approach-to-ai-safety.md" TargetMode="External"/><Relationship Id="rIdelmqplua-gbq4nqdpfaee" Type="http://schemas.openxmlformats.org/officeDocument/2006/relationships/hyperlink" Target="https://github.com/nvidia/openshell" TargetMode="External"/><Relationship Id="rId9" Type="http://schemas.openxmlformats.org/officeDocument/2006/relationships/image" Target="media/13734d7a9987498e34047b5a65691c725d8038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3</dc:title>
  <dc:creator>Yobie Benjamin</dc:creator>
  <cp:lastModifiedBy>Un-named</cp:lastModifiedBy>
  <cp:revision>1</cp:revision>
  <dcterms:created xsi:type="dcterms:W3CDTF">2026-10-12T22:54:21.644Z</dcterms:created>
  <dcterms:modified xsi:type="dcterms:W3CDTF">2026-10-12T22:54:21.644Z</dcterms:modified>
</cp:coreProperties>
</file>

<file path=docProps/custom.xml><?xml version="1.0" encoding="utf-8"?>
<Properties xmlns="http://schemas.openxmlformats.org/officeDocument/2006/custom-properties" xmlns:vt="http://schemas.openxmlformats.org/officeDocument/2006/docPropsVTypes"/>
</file>