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3 of 3: the silicon design</w:t>
      </w:r>
    </w:p>
    <w:p>
      <w:pPr>
        <w:pBdr>
          <w:left w:val="single" w:color="185FA5" w:sz="18" w:space="12"/>
        </w:pBdr>
        <w:spacing w:after="240" w:before="120" w:line="276" w:lineRule="auto"/>
        <w:ind w:left="360"/>
      </w:pPr>
      <w:r>
        <w:rPr>
          <w:i/>
          <w:iCs/>
          <w:color w:val="2C2C2A"/>
          <w:sz w:val="23"/>
          <w:szCs w:val="23"/>
        </w:rPr>
        <w:t xml:space="preserve">Parts 1 and 2 made the argument. The first post in this repository laid out the layer model and shipped the reference stack. This is the design that post promised: where each layer goes in silicon, the theory each piece rests on, how the pieces talk to each other and to the model, how they sit against the GPU, the CPU, memory and storage, and the experiments that would prove or disprove each claim. A chip designer reviewed the first draft. His seven corrections are built into this one, and the biggest of them changed the shape of the design: the guarantee is narrower than the first draft claimed, and stronger, because it is a security contract at the action endpoint rather than a promise about a chip.</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(Anderson, 1972). A model fails all three tests.</w:t>
      </w:r>
    </w:p>
    <w:p>
      <w:pPr>
        <w:pStyle w:val="ListParagraph"/>
        <w:numPr>
          <w:ilvl w:val="0"/>
          <w:numId w:val="2"/>
        </w:numPr>
        <w:spacing w:after="100" w:line="276" w:lineRule="auto"/>
      </w:pPr>
      <w:r>
        <w:t xml:space="preserve">Prevention lives at the effector. A cluster of GPUs can think anything; the catastrophe cannot happen until one line goes high. Guard the line, not the crowd.</w:t>
      </w:r>
    </w:p>
    <w:p>
      <w:pPr>
        <w:pStyle w:val="ListParagraph"/>
        <w:numPr>
          <w:ilvl w:val="0"/>
          <w:numId w:val="2"/>
        </w:numPr>
        <w:spacing w:after="100" w:line="276" w:lineRule="auto"/>
      </w:pPr>
      <w:r>
        <w:t xml:space="preserve">Gate the irreversible before it happens; audit the reversible afterward. This series draws that line differently now, and the next section says how.</w:t>
      </w:r>
    </w:p>
    <w:p>
      <w:pPr>
        <w:pStyle w:val="ListParagraph"/>
        <w:numPr>
          <w:ilvl w:val="0"/>
          <w:numId w:val="2"/>
        </w:numPr>
        <w:spacing w:after="100" w:line="276" w:lineRule="auto"/>
      </w:pPr>
      <w:r>
        <w:t xml:space="preserve">Any model may raise STOP; no model may clear it. Alarms are cheap when wrong; clearing one takes a deterministic rule or a human key.</w:t>
      </w:r>
    </w:p>
    <w:p>
      <w:pPr>
        <w:spacing w:after="160" w:line="276" w:lineRule="auto"/>
      </w:pPr>
      <w:r>
        <w:t xml:space="preserve">The layer model from the first post, which the rest of this design is placed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09"/>
        <w:gridCol w:w="4328"/>
        <w:gridCol w:w="3223"/>
      </w:tblGrid>
      <w:tr>
        <w:trPr>
          <w:cantSplit/>
          <w:tblHeader/>
        </w:trPr>
        <w:tc>
          <w:tcPr>
            <w:tcW w:type="dxa" w:w="18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432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32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firmware allowlist and the revocations; separate from the chip vendor on purpose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Default-deny gate on the only path out: attestation check, rulebook, witnesses, budget, human holds, one-time tickets, audit trail</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audit.py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consumed as witnesses</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provenance verdict</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secret, anti-rollback counter, extend-only measurement registers, DICE key, quote engine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root.py</w:t>
            </w:r>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358"/>
        <w:gridCol w:w="3875"/>
        <w:gridCol w:w="2127"/>
      </w:tblGrid>
      <w:tr>
        <w:trPr>
          <w:cantSplit/>
          <w:tblHeader/>
        </w:trPr>
        <w:tc>
          <w:tcPr>
            <w:tcW w:type="dxa" w:w="335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387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21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endpoints.py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approvals in </w:t>
            </w:r>
            <w:r>
              <w:rPr>
                <w:rFonts w:ascii="Consolas" w:cs="Consolas" w:eastAsia="Consolas" w:hAnsi="Consolas"/>
                <w:color w:val="2C2C2A"/>
                <w:sz w:val="16"/>
                <w:szCs w:val="16"/>
              </w:rPr>
              <w:t xml:space="preserve">gate.py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assertions.py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oasp.py</w:t>
            </w:r>
          </w:p>
        </w:tc>
      </w:tr>
    </w:tbl>
    <w:p>
      <w:pPr>
        <w:spacing w:after="120"/>
      </w:pPr>
    </w:p>
    <w:p>
      <w:pPr>
        <w:pStyle w:val="Heading1"/>
        <w:keepNext/>
      </w:pPr>
      <w:r>
        <w:t xml:space="preserve">What changed after the review</w:t>
      </w:r>
    </w:p>
    <w:p>
      <w:pPr>
        <w:spacing w:after="160" w:line="276" w:lineRule="auto"/>
      </w:pPr>
      <w:r>
        <w:t xml:space="preserve">Seven corrections, all adopted. Each one is worked into the sections that follow; this list is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an enforcement boundary. The unit this design protects is an </w:t>
      </w:r>
      <w:r>
        <w:rPr>
          <w:i/>
          <w:iCs/>
        </w:rPr>
        <w:t xml:space="preserve">enforcement domain</w:t>
      </w:r>
      <w:r>
        <w:t xml:space="preserve">: a defined set of processors, memory, interfaces and action endpoints whose exits are all controlled. A chip governs only the paths over which it has non-bypassable authority.</w:t>
      </w:r>
    </w:p>
    <w:p>
      <w:pPr>
        <w:pStyle w:val="ListParagraph"/>
        <w:numPr>
          <w:ilvl w:val="0"/>
          <w:numId w:val="3"/>
        </w:numPr>
        <w:spacing w:after="100" w:line="276" w:lineRule="auto"/>
      </w:pPr>
      <w:r>
        <w:rPr>
          <w:b/>
          <w:bCs/>
        </w:rPr>
        <w:t xml:space="preserve">Not everything is a DMA descriptor.</w:t>
      </w:r>
      <w:r>
        <w:t xml:space="preserve"> CUDA lets GPU threads load and store directly in a peer GPU's memory. A check on copy-engine descriptors does not see that traffic. Enforcement therefore has to be distributed: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the first draft claimed.</w:t>
      </w:r>
      <w:r>
        <w:t xml:space="preserve"> A controller that signs bytes in an output buffer proves that </w:t>
      </w:r>
      <w:r>
        <w:rPr>
          <w:i/>
          <w:iCs/>
        </w:rPr>
        <w:t xml:space="preserve">this device signed these bytes</w:t>
      </w:r>
      <w:r>
        <w:t xml:space="preserve">. It does not prove that the model produced them. Provenance is now three distinct claims (device, workload, execution integrity), and the design says which one each mechanism delivers.</w:t>
      </w:r>
    </w:p>
    <w:p>
      <w:pPr>
        <w:pStyle w:val="ListParagraph"/>
        <w:numPr>
          <w:ilvl w:val="0"/>
          <w:numId w:val="3"/>
        </w:numPr>
        <w:spacing w:after="100" w:line="276" w:lineRule="auto"/>
      </w:pPr>
      <w:r>
        <w:rPr>
          <w:b/>
          <w:bCs/>
        </w:rPr>
        <w:t xml:space="preserve">Every external action is authorized.</w:t>
      </w:r>
      <w:r>
        <w:t xml:space="preserve"> The reversible/irreversible distinction decides how much checking and delay an action gets, never whether it is checked. A compromised broker must not be able to skip the gate by labelling an action "reversible." The first draft had that hole; the reference stack never did, and this draft matches the stack.</w:t>
      </w:r>
    </w:p>
    <w:p>
      <w:pPr>
        <w:pStyle w:val="ListParagraph"/>
        <w:numPr>
          <w:ilvl w:val="0"/>
          <w:numId w:val="3"/>
        </w:numPr>
        <w:spacing w:after="100" w:line="276" w:lineRule="auto"/>
      </w:pPr>
      <w:r>
        <w:rPr>
          <w:b/>
          <w:bCs/>
        </w:rPr>
        <w:t xml:space="preserve">Binding is transactional.</w:t>
      </w:r>
      <w:r>
        <w:t xml:space="preserve"> A signed ticket alone does not supply the semantics an irreversible action needs. Checking permission, reserving a shared budget and committing the action are one coordinated protocol with replay protection that survives a restart, policy-version binding, and a single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supplied value against a protected rule; it still needs a justified basis for trusting the value. Every guarantee now carries an explicit assumptions register: which inputs are authoritative, how fresh, what happens on conflict, what the hardware cannot check.</w:t>
      </w:r>
    </w:p>
    <w:p>
      <w:pPr>
        <w:pStyle w:val="ListParagraph"/>
        <w:numPr>
          <w:ilvl w:val="0"/>
          <w:numId w:val="3"/>
        </w:numPr>
        <w:spacing w:after="100" w:line="276" w:lineRule="auto"/>
      </w:pPr>
      <w:r>
        <w:rPr>
          <w:b/>
          <w:bCs/>
        </w:rPr>
        <w:t xml:space="preserve">Absolute claims are narrowed.</w:t>
      </w:r>
      <w:r>
        <w:t xml:space="preserve"> "No weights can leave" becomes "unauthorized transfers are blocked, and the permitted channels need a leakage threat model." "Failure means an action not taken" becomes "each application defines its safe transition." "Software tests everything except tamperproofness" becomes "software tests policy and protocol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Three things about this sentence carry the whole design.</w:t>
      </w:r>
    </w:p>
    <w:p>
      <w:pPr>
        <w:spacing w:after="160" w:line="276" w:lineRule="auto"/>
      </w:pPr>
      <w:r>
        <w:t xml:space="preserve">It is a statement about the </w:t>
      </w:r>
      <w:r>
        <w:rPr>
          <w:i/>
          <w:iCs/>
        </w:rPr>
        <w:t xml:space="preserve">action boundary</w:t>
      </w:r>
      <w:r>
        <w:t xml:space="preserve">, not about the GPU. The GPU-side silicon (the policy controller and its enforcement points, below) provides containment and provenance: it keeps the weights in, keeps unattested traffic out, and makes outputs attributable. Those are valuable, and they are secondary. The thing that prevents the strike on the school is the comparator in the weapon, and the thing that prevents the fraudulent transfer is the comparator in the payment switch. Prevention lives where computation becomes physics, which is what Part 2 argued from the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and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A domain is the unit over which the contract holds: the processors, memory, interfaces and action endpoints whose relevant exits are all controlled. Drawing the domain is the first design act, because a controller can only govern paths it has non-bypassable authority over. A companion chip beside a GPU does not automatically control GPU-to-GPU traffic, CPU-originated network requests, or other devices on the bus; a halt line gives it emergency shutdown authority, which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120"/>
        <w:gridCol w:w="3120"/>
        <w:gridCol w:w="3120"/>
      </w:tblGrid>
      <w:tr>
        <w:trPr>
          <w:cantSplit/>
          <w:tblHeader/>
        </w:trPr>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commitment; re-check with the device's own sensors; define the safe transition</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(BlueField-4 with DOCA, beside NVIDIA Sentry)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egress on a custom carrier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The design rule that follows: </w:t>
      </w:r>
      <w:r>
        <w:rPr>
          <w:b/>
          <w:bCs/>
        </w:rPr>
        <w:t xml:space="preserve">E is always present and is the guarantee; A, B and C add containment and provenance in increasing order of coverage.</w:t>
      </w:r>
      <w:r>
        <w:t xml:space="preserve"> A deployment can run E alone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across billions of parameters. The objection "a chip only knows 0 and 1, so it cannot know right from wrong" is correct, and the design accepts it completely.</w:t>
      </w:r>
    </w:p>
    <w:p>
      <w:pPr>
        <w:spacing w:after="160" w:line="276" w:lineRule="auto"/>
      </w:pPr>
      <w:r>
        <w:t xml:space="preserve">So no silicon here interprets tokens. The hardware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peer GPU, to a network card, to a disk, to an actuator. Transfers are finite, enumerable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Semantics enters silicon in exactly one place: the request the broker builds, a typed record of the action the model proposes, checked by a gate the model cannot write to and re-checked by the endpoint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the map is an input whose trustworthiness is a separate question (the assumptions register, below).</w:t>
      </w:r>
    </w:p>
    <w:p>
      <w:pPr>
        <w:pStyle w:val="Heading1"/>
        <w:keepNext/>
      </w:pPr>
      <w:r>
        <w:t xml:space="preserve">Where the bits live</w:t>
      </w:r>
    </w:p>
    <w:p>
      <w:pPr>
        <w:spacing w:after="160" w:line="276" w:lineRule="auto"/>
      </w:pPr>
      <w:r>
        <w:t xml:space="preserve">A model's data lives in eight places, and it changes representation at almost every one. The gates sit where a representation crosses a trust boundary, not where it is most meaningful.</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089"/>
        <w:gridCol w:w="2150"/>
        <w:gridCol w:w="1608"/>
        <w:gridCol w:w="1678"/>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0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15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Representation</w:t>
            </w:r>
          </w:p>
        </w:tc>
        <w:tc>
          <w:tcPr>
            <w:tcW w:type="dxa" w:w="16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16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safetensors in bf16 or fp8; data as token shards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an attested loader</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(vLLM, TensorRT-LLM, SGLang), broker, OpenShell sandbox</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AMD SEV-SNP, Arm CCA)</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RDMA across nodes; GPUDirect Storage</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is proportional to boundary crossings and actions, not to compute.</w:t>
      </w:r>
    </w:p>
    <w:p>
      <w:pPr>
        <w:spacing w:after="160" w:line="276" w:lineRule="auto"/>
      </w:pPr>
      <w:r>
        <w:t xml:space="preserve">Station 4 is where the second review point lands. A copy engine moves data with a descriptor the hardware processes one at a time, and a capability check on a descriptor is the same kind of operation as an IOMMU lookup. But a CUDA kernel can also read and write a peer GPU's memory directly, with ordinary loads and stores over NVLink, once peer access is enabled. Those accesses never see a copy-engine descriptor. So the enforcement for station 4 is not one checker but several, each at the hardware point the traffic actually passes (the enforcement-point table, below), and any path with no checker is disabled by policy rather than assumed safe.</w:t>
      </w:r>
    </w:p>
    <w:p>
      <w:pPr>
        <w:spacing w:after="160" w:line="276" w:lineRule="auto"/>
      </w:pPr>
      <w:r>
        <w:t xml:space="preserve">Training data has a station too. During training, the shards DMA'd into HBM pass the same enforcement points as everything else, so the controller can record which dataset manifest a model was trained from, and that record travels with the model's measurement.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The first draft bound an action to a declaration and checked it twice. That is necessary and not sufficient. Four failures survive a signed, bound, single-use token on its own:</w:t>
      </w:r>
    </w:p>
    <w:p>
      <w:pPr>
        <w:pStyle w:val="ListParagraph"/>
        <w:numPr>
          <w:ilvl w:val="0"/>
          <w:numId w:val="4"/>
        </w:numPr>
        <w:spacing w:after="100" w:line="276" w:lineRule="auto"/>
      </w:pPr>
      <w:r>
        <w:t xml:space="preserve">A valid approval can be reused after a restart, if the record of its use was in memory.</w:t>
      </w:r>
    </w:p>
    <w:p>
      <w:pPr>
        <w:pStyle w:val="ListParagraph"/>
        <w:numPr>
          <w:ilvl w:val="0"/>
          <w:numId w:val="4"/>
        </w:numPr>
        <w:spacing w:after="100" w:line="276" w:lineRule="auto"/>
      </w:pPr>
      <w:r>
        <w:t xml:space="preserve">Two concurrent requests can both pass a shared budget check, if the check and the reservation are separate steps.</w:t>
      </w:r>
    </w:p>
    <w:p>
      <w:pPr>
        <w:pStyle w:val="ListParagraph"/>
        <w:numPr>
          <w:ilvl w:val="0"/>
          <w:numId w:val="4"/>
        </w:numPr>
        <w:spacing w:after="100" w:line="276" w:lineRule="auto"/>
      </w:pPr>
      <w:r>
        <w:t xml:space="preserve">The recipient approved can differ from the recipient executed, if the binding covers the action but not every parameter and the destination service.</w:t>
      </w:r>
    </w:p>
    <w:p>
      <w:pPr>
        <w:pStyle w:val="ListParagraph"/>
        <w:numPr>
          <w:ilvl w:val="0"/>
          <w:numId w:val="4"/>
        </w:numPr>
        <w:spacing w:after="100" w:line="276" w:lineRule="auto"/>
      </w:pPr>
      <w:r>
        <w:t xml:space="preserve">An approval can remain usable after the policy that granted it has changed.</w:t>
      </w:r>
    </w:p>
    <w:p>
      <w:pPr>
        <w:spacing w:after="160" w:line="276" w:lineRule="auto"/>
      </w:pPr>
      <w:r>
        <w:t xml:space="preserve">So authorization is a transaction with three coordinated steps, and this is how </w:t>
      </w:r>
      <w:r>
        <w:rPr>
          <w:rFonts w:ascii="Consolas" w:cs="Consolas" w:eastAsia="Consolas" w:hAnsi="Consolas"/>
          <w:sz w:val="20"/>
          <w:szCs w:val="20"/>
        </w:rPr>
        <w:t xml:space="preserve">gate.py</w:t>
      </w:r>
      <w:r>
        <w:t xml:space="preserve">, </w:t>
      </w:r>
      <w:r>
        <w:rPr>
          <w:rFonts w:ascii="Consolas" w:cs="Consolas" w:eastAsia="Consolas" w:hAnsi="Consolas"/>
          <w:sz w:val="20"/>
          <w:szCs w:val="20"/>
        </w:rPr>
        <w:t xml:space="preserve">ledger.py</w:t>
      </w:r>
      <w:r>
        <w:t xml:space="preserve"> and </w:t>
      </w:r>
      <w:r>
        <w:rPr>
          <w:rFonts w:ascii="Consolas" w:cs="Consolas" w:eastAsia="Consolas" w:hAnsi="Consolas"/>
          <w:sz w:val="20"/>
          <w:szCs w:val="20"/>
        </w:rPr>
        <w:t xml:space="preserve">endpoints.py</w:t>
      </w:r>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action, typed parameters, the attestation token for the workload that is asking, and the witness assertions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compute attested; is there a signed, default-deny rule for this (measurement, action) whose constraints the parameters satisfy; are the required witnesses fresh, signed and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such as 2,000 USD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so a concurrent request waits and then sees the reservation.</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parameter, the workload measurement, the rule, the </w:t>
      </w:r>
      <w:r>
        <w:rPr>
          <w:b/>
          <w:bCs/>
        </w:rPr>
        <w:t xml:space="preserve">policy epoch</w:t>
      </w:r>
      <w:r>
        <w:t xml:space="preserve"> (the digest of the policy image that issued it), the endpoint it is valid at, and the reservation id. Human-held rules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admits the ticket only if the gate's signature verifies, the action and the parameter digest match what it is about to do, the policy epoch is the one it currently accepts, the endpoint name is its own, the ticket is unexpired, and the ticket id has never been consumed.</w:t>
      </w:r>
    </w:p>
    <w:p>
      <w:pPr>
        <w:pStyle w:val="ListParagraph"/>
        <w:numPr>
          <w:ilvl w:val="0"/>
          <w:numId w:val="5"/>
        </w:numPr>
        <w:spacing w:after="100" w:line="276" w:lineRule="auto"/>
      </w:pPr>
      <w:r>
        <w:t xml:space="preserve">The endpoint </w:t>
      </w:r>
      <w:r>
        <w:rPr>
          <w:b/>
          <w:bCs/>
        </w:rPr>
        <w:t xml:space="preserve">burns</w:t>
      </w:r>
      <w:r>
        <w:t xml:space="preserve"> the ticket id in durable storage, then asks the gate to </w:t>
      </w:r>
      <w:r>
        <w:rPr>
          <w:b/>
          <w:bCs/>
        </w:rPr>
        <w:t xml:space="preserve">commit</w:t>
      </w:r>
      <w:r>
        <w:t xml:space="preserve"> the reservation, and only then executes.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partition heals. An unexecuted reservation is released when its ticket expires, so a crashed client cannot hold a budget hostage.</w:t>
      </w:r>
    </w:p>
    <w:p>
      <w:pPr>
        <w:pStyle w:val="ListParagraph"/>
        <w:numPr>
          <w:ilvl w:val="0"/>
          <w:numId w:val="5"/>
        </w:numPr>
        <w:spacing w:after="100" w:line="276" w:lineRule="auto"/>
      </w:pPr>
      <w:r>
        <w:t xml:space="preserve">Every step appends to the signed, hash-chained audit trail before its result is returned.</w:t>
      </w:r>
    </w:p>
    <w:p>
      <w:pPr>
        <w:spacing w:after="160" w:line="276" w:lineRule="auto"/>
      </w:pPr>
      <w:r>
        <w:t xml:space="preserve">The persistence rule is simple: a mutation is written to the store before the call returns. The replay store, the rate windows, the holds, the reservations and the endpoint's consumed set all come back after a restart. The gate's signing key is derived the way DICE derives an alias key, from what booted, so a restart of the same code gets the same key back and an outstanding ticket is still verifiable.</w:t>
      </w:r>
    </w:p>
    <w:p>
      <w:pPr>
        <w:spacing w:after="160" w:line="276" w:lineRule="auto"/>
      </w:pPr>
      <w:r>
        <w:t xml:space="preserve">Two consequences for distributed deployments. A budget key is owned by exactly one ledger; several individually correct gates checking a shared allowance locally can still collectively overspend it, so a shared allowance is reserved at the ledger that owns it, never approximated. And a ticket that names an endpoint cannot be presented to another service that happens to offer the same action.</w:t>
      </w:r>
    </w:p>
    <w:p>
      <w:pPr>
        <w:spacing w:after="160" w:line="276" w:lineRule="auto"/>
      </w:pPr>
      <w:r>
        <w:t xml:space="preserve">In silicon: the replay store is a monotonic counter plus a small content-addressable memory in the root's non-volatile memory; the ledger is a set of hardware counters owned by the gate block; the epoch is the policy image's digest in a register the host cannot write; the lock is the fact that the block processes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workload measurement (what code is running, never which chip), with typed constraints, witness requirements, rate limits, budgets and human holds. It is software today (</w:t>
      </w:r>
      <w:r>
        <w:rPr>
          <w:rFonts w:ascii="Consolas" w:cs="Consolas" w:eastAsia="Consolas" w:hAnsi="Consolas"/>
          <w:sz w:val="20"/>
          <w:szCs w:val="20"/>
        </w:rPr>
        <w:t xml:space="preserve">gate.py</w:t>
      </w:r>
      <w:r>
        <w:t xml:space="preserve">) and a content-addressable memory plus comparators in silicon: a rulebook entry is a measurement, an action class, a few typed limits and a rate, which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capability is bounded by the rulebook rather than by the model's alignment.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path: </w:t>
      </w:r>
      <w:r>
        <w:rPr>
          <w:rFonts w:ascii="Consolas" w:cs="Consolas" w:eastAsia="Consolas" w:hAnsi="Consolas"/>
          <w:sz w:val="20"/>
          <w:szCs w:val="20"/>
        </w:rPr>
        <w:t xml:space="preserve">auto</w:t>
      </w:r>
      <w:r>
        <w:t xml:space="preserve"> (attestation and constraints suffice;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the fast path and the slow path. What the requester says about its own request changes nothing: a </w:t>
      </w:r>
      <w:r>
        <w:rPr>
          <w:rFonts w:ascii="Consolas" w:cs="Consolas" w:eastAsia="Consolas" w:hAnsi="Consolas"/>
          <w:sz w:val="20"/>
          <w:szCs w:val="20"/>
        </w:rPr>
        <w:t xml:space="preserve">risk_class: reversible</w:t>
      </w:r>
      <w:r>
        <w:t xml:space="preserve"> field in the parameters, or a </w:t>
      </w:r>
      <w:r>
        <w:rPr>
          <w:rFonts w:ascii="Consolas" w:cs="Consolas" w:eastAsia="Consolas" w:hAnsi="Consolas"/>
          <w:sz w:val="20"/>
          <w:szCs w:val="20"/>
        </w:rPr>
        <w:t xml:space="preserve">requirement: auto</w:t>
      </w:r>
      <w:r>
        <w:t xml:space="preserve"> field on the request, is ignored, because the rulebook selects the rule from the measurement, the action and the constrained parameters, and from nothing else. The catalogue has an attack for exactly that (</w:t>
      </w:r>
      <w:r>
        <w:rPr>
          <w:rFonts w:ascii="Consolas" w:cs="Consolas" w:eastAsia="Consolas" w:hAnsi="Consolas"/>
          <w:sz w:val="20"/>
          <w:szCs w:val="20"/>
        </w:rPr>
        <w:t xml:space="preserve">TX.risk_label_ignored</w:t>
      </w:r>
      <w:r>
        <w:t xml:space="preserve">): a 25,000 USD payment labelled reversible is held like any other.</w:t>
      </w:r>
    </w:p>
    <w:p>
      <w:pPr>
        <w:spacing w:after="160" w:line="276" w:lineRule="auto"/>
      </w:pPr>
      <w:r>
        <w:rPr>
          <w:b/>
          <w:bCs/>
        </w:rPr>
        <w:t xml:space="preserve">Witnesses, in the direction biology allows.</w:t>
      </w:r>
      <w:r>
        <w:t xml:space="preserve"> Observers (the </w:t>
      </w:r>
      <w:r>
        <w:rPr>
          <w:rFonts w:ascii="Consolas" w:cs="Consolas" w:eastAsia="Consolas" w:hAnsi="Consolas"/>
          <w:sz w:val="20"/>
          <w:szCs w:val="20"/>
        </w:rPr>
        <w:t xml:space="preserve">autonomic-graph-regulation</w:t>
      </w:r>
      <w:r>
        <w:t xml:space="preserve"> repo's early-warning lane; NVIDIA Sentry on the DPU) and the provenance registry (the </w:t>
      </w:r>
      <w:r>
        <w:rPr>
          <w:rFonts w:ascii="Consolas" w:cs="Consolas" w:eastAsia="Consolas" w:hAnsi="Consolas"/>
          <w:sz w:val="20"/>
          <w:szCs w:val="20"/>
        </w:rPr>
        <w:t xml:space="preserve">Watermark</w:t>
      </w:r>
      <w:r>
        <w:t xml:space="preserve"> repo) emit signed verdicts about one request hash with short expiries. The gate consumes them; it never computes them. A verdict can keep the gate shut. It cannot open it. The novelty check from the first draft belongs here too, as a witness: a request whose field values fall outside everything previously seen is a good additional reason to stop. It is not a guarantee against unenumerated catastrophes.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attestation tokens from the verifier. To the model: none. The model never talks to the gate; the broker does, in a format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constraint on the coordinates against the attested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veto window was needed; the predicate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USD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most insidious; its metric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munition's guidance chip, the payment switch's hardware security module, the robot's motor controller, the gateway's line card. It holds the gate's public key, its own copy of the lists or map it needs, its own sensors, a durable consumed-ticket set, the current policy epoch, and a heartbeat timer. It re-checks at the moment of actuation, against its own inputs, so a request that lied cannot survive the last step. It depends on nothing above it.</w:t>
      </w:r>
    </w:p>
    <w:p>
      <w:pPr>
        <w:spacing w:after="160" w:line="276" w:lineRule="auto"/>
      </w:pPr>
      <w:r>
        <w:rPr>
          <w:b/>
          <w:bCs/>
        </w:rPr>
        <w:t xml:space="preserve">Theory.</w:t>
      </w:r>
      <w:r>
        <w:t xml:space="preserve"> If the final re-check uses the device's own sensors and its own copy of the list, then compromising every layer above it is not sufficient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transitions.</w:t>
      </w:r>
      <w:r>
        <w:t xml:space="preserve"> The first draft said failure always means an action not taken. The review corrected that: each application has to define its own safe transition, and stopping abruptly can itself be the hazard. For a munition, the safe transition is no release. For a payment switch, decline. For a surgical robot or an aircraft control surface, the safe transition is a controlled state, not a frozen one, and designing it is part of the endpoint's specification. What the contract guarantees is that the device moves to its specified safe transition,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which is a feature.</w:t>
      </w:r>
    </w:p>
    <w:p>
      <w:pPr>
        <w:spacing w:after="160" w:line="276" w:lineRule="auto"/>
      </w:pPr>
      <w:r>
        <w:rPr>
          <w:b/>
          <w:bCs/>
        </w:rPr>
        <w:t xml:space="preserve">How it fails.</w:t>
      </w:r>
      <w:r>
        <w:t xml:space="preserve"> Stale lists and maps; sensor spoofing; a common-mode failure that makes several sensors agree on a wrong answer, which is why "multiple sensors agree" is not the same as "independent sources agree"; a heartbeat scheme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for the highest-authority actions, several of them. An override is a ceremony: several people, a written reason, a log entry, and time.</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and a stack whose human override is fast and silent degrades to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is conditional on where. Every deployment of this design carries a register like this one, and a guarantee is only as good as the rows it depends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25"/>
        <w:gridCol w:w="2025"/>
        <w:gridCol w:w="1548"/>
        <w:gridCol w:w="1532"/>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2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4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says "protected" wins</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monotonic counter</w:t>
            </w:r>
          </w:p>
        </w:tc>
        <w:tc>
          <w:tcPr>
            <w:tcW w:type="dxa" w:w="202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15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semantic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The compute side: containment and provenance</w:t>
      </w:r>
    </w:p>
    <w:p>
      <w:pPr>
        <w:spacing w:after="160" w:line="276" w:lineRule="auto"/>
      </w:pPr>
      <w:r>
        <w:t xml:space="preserve">The compute side keeps the model inside its box, makes its outputs attributable, and feeds the gate an attestation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A fused unique device secret readable only by the key-derivation engine; an anti-rollback fuse counter; extend-only measurement registers with no write port; a ROM-resident DICE engine that derives the signing key from the measurement of what booted; a quote engine; a TRNG and a monotonic counter. On NVIDIA GPUs the vendor's version of this chain covers the VBIOS and the GSP firmware (the GSP is the RISC-V management processor on the die), and the DPU has its own. The reference models both (</w:t>
      </w:r>
      <w:r>
        <w:rPr>
          <w:rFonts w:ascii="Consolas" w:cs="Consolas" w:eastAsia="Consolas" w:hAnsi="Consolas"/>
          <w:sz w:val="20"/>
          <w:szCs w:val="20"/>
        </w:rPr>
        <w:t xml:space="preserve">root.py</w:t>
      </w:r>
      <w:r>
        <w:t xml:space="preserve">) and binds the GPU's quote inside the CPU TEE's, which is the composite-attestation pattern of NVIDIA confidential computing.</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and cannot forge a quote for firmware it did not boot, because the key that signs the quote was derived from what it did boot.</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attested together. GPU memory is walled off from the host by hardware firewalls; PCIe traffic is encrypted (Hopper uses encrypted bounce buffers; NVIDIA describes Blackwell as TEE-I/O capable, with protection extended to NVLink); the GPU produces a signed report of the firmware it is running. The reference's capability grants are keyed to the workload measurement, </w:t>
      </w:r>
      <w:r>
        <w:rPr>
          <w:rFonts w:ascii="Consolas" w:cs="Consolas" w:eastAsia="Consolas" w:hAnsi="Consolas"/>
          <w:sz w:val="20"/>
          <w:szCs w:val="20"/>
        </w:rPr>
        <w:t xml:space="preserve">H(cpu firmware digest, gpu firmware digest)</w:t>
      </w:r>
      <w:r>
        <w:t xml:space="preserve">; the design extends that measurement with the model manifest's digest, so a grant is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attested hardware whose memory cannot be read from outside, the model is bound to the hardware. Claim: no process outside the attested enclaves reads weights or activations, and every record can be attributed to an attestation.</w:t>
      </w:r>
    </w:p>
    <w:p>
      <w:pPr>
        <w:spacing w:after="160" w:line="276" w:lineRule="auto"/>
      </w:pPr>
      <w:r>
        <w:rPr>
          <w:b/>
          <w:bCs/>
        </w:rPr>
        <w:t xml:space="preserve">Interfaces to the GPU and CUDA.</w:t>
      </w:r>
      <w:r>
        <w:t xml:space="preserve"> The CUDA driver already cooperates with confidential-computing mode; kernels run unchanged inside the enclave; copies between the enclaves take the encrypted path. The CPU TEE and the GPU TEE set up their session with an SPDM-based key exchange on current hardware, and for the job's duration the two enclaves are one trust domain. The weight loader inside the CPU TEE fetches encrypted weights, and the key service releases the key only after both attestations verify.</w:t>
      </w:r>
    </w:p>
    <w:p>
      <w:pPr>
        <w:spacing w:after="160" w:line="276" w:lineRule="auto"/>
      </w:pPr>
      <w:r>
        <w:rPr>
          <w:b/>
          <w:bCs/>
        </w:rPr>
        <w:t xml:space="preserve">How it fails.</w:t>
      </w:r>
      <w:r>
        <w:t xml:space="preserve"> Side channels; firmware bugs in the firewall; a compromised loader that runs an unattested model on attested hardware, which is why the model manifest belongs in the measurement.</w:t>
      </w:r>
    </w:p>
    <w:p>
      <w:pPr>
        <w:pStyle w:val="Heading2"/>
        <w:keepNext/>
      </w:pPr>
      <w:r>
        <w:t xml:space="preserve">The policy controller and its enforcement points</w:t>
      </w:r>
    </w:p>
    <w:p>
      <w:pPr>
        <w:spacing w:after="160" w:line="276" w:lineRule="auto"/>
      </w:pPr>
      <w:r>
        <w:t xml:space="preserve">This is the Layer 4 block in silicon on the compute side, and it is the piece that does not exist. The first draft called it a governor and described it as one component that mediated every transfer. The review's second point changed the architecture: the trusted part stays small, and the enforcement is distributed.</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A small controller sets policy; checkers at every exit enforce it</w:t>
      </w:r>
    </w:p>
    <w:p>
      <w:pPr>
        <w:spacing w:after="160" w:line="276" w:lineRule="auto"/>
      </w:pPr>
      <w:r>
        <w:rPr>
          <w:b/>
          <w:bCs/>
        </w:rPr>
        <w:t xml:space="preserve">What it is.</w:t>
      </w:r>
      <w:r>
        <w:t xml:space="preserve"> A small, isolated controller (seL4-class firmware, a few thousand lines, with the proof assumptions written down) that manages policies, identities, capabilities, revocation and exceptions, plus dedicated hardware checkers at every point where a transaction crosses the domain's boundary. The controller does not sit in the data path and does not process every transaction; it configures the checkers and handles what they refuse. Its state (the capability table, the log head, the metering counters, the policy epoch) lives in its own SRAM and one-time-programmable memory, never in HBM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capability for, and the controller's policy only changes with a quorum of humans, then unauthorized transfers are blocked for any model running on the GPU. Claim: no byte leaves the domain over any enumerated path without a capability,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09"/>
        <w:gridCol w:w="1732"/>
        <w:gridCol w:w="2549"/>
        <w:gridCol w:w="2570"/>
      </w:tblGrid>
      <w:tr>
        <w:trPr>
          <w:cantSplit/>
          <w:tblHeader/>
        </w:trPr>
        <w:tc>
          <w:tcPr>
            <w:tcW w:type="dxa" w:w="25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173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254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57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token on every descriptor; a table lookup like an IOMMU</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(CUDA peer access over NVLink)</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capability, and a peer outside the roster has no key</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TEE-I/O / IDE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(BlueField-4) filter tables</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DOCA-programmable hardware</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GPUDirect Storage (NVMe to HBM without the CPU)</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capability that names the manifest it may deliver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Disabled by policy, not assumed safe</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5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173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254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controller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attested peer, in which direction, with what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measurement;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attest to each other and form a roster; checkers pass traffic to roster members under a job-lifetime capability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capability tokens on copy-engine, RDMA and storage descriptors;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descriptor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enumeration missed, which is why the experiment enumerates paths rather than assuming them, and why a PCIe-level prototype can validate its own boundary and cannot establish coverage of internal GPU or NVLink paths. A key-custody failure at the policy authority. A bug in the controller's firmware, which is why it must be small enough to verify, and why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The first draft said no weights can leave. The defensible claim is that unauthorized transfers are blocked. The token output channel is authorized by definition, and a model can be made to leak its own weights slowly through it (model extraction over many queries; steganographic encoding in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an output buffer. The controller observes those bytes crossing the copy engine and signs them alongside the approved model's measurement. The signature is valid. The model never produced the output.</w:t>
      </w:r>
    </w:p>
    <w:p>
      <w:pPr>
        <w:spacing w:after="160" w:line="276" w:lineRule="auto"/>
      </w:pPr>
      <w:r>
        <w:t xml:space="preserve">So the design distinguishes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attested runtime reports producing these bytes under this configuration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attested,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is in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attested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detachable provenance record, not a watermark: a receiver can require a valid record, but copied or paraphrased text loses the binding.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OpenShell as shipped: each agent in its own container, a Landlock allowlist of file paths locked at creation, a network policy proxy, credentials injected per sandbox, and GPU device access as a line in the policy. It bounds the process. Its limit is that it lives inside a kernel of tens of millions of lines and its network policy can be hot-reloaded by an operator, so the authority to set policy has to move down to the gate, where changing it takes the governance root. The reference already derives OpenShell's network policy from the signed rulebook (</w:t>
      </w:r>
      <w:r>
        <w:rPr>
          <w:rFonts w:ascii="Consolas" w:cs="Consolas" w:eastAsia="Consolas" w:hAnsi="Consolas"/>
          <w:sz w:val="20"/>
          <w:szCs w:val="20"/>
        </w:rPr>
        <w:t xml:space="preserve">oasp.py</w:t>
      </w:r>
      <w:r>
        <w:t xml:space="preserve">), so the two cannot drift.</w:t>
      </w:r>
    </w:p>
    <w:p>
      <w:pPr>
        <w:spacing w:after="160" w:line="276" w:lineRule="auto"/>
      </w:pPr>
      <w:r>
        <w:rPr>
          <w:b/>
          <w:bCs/>
        </w:rPr>
        <w:t xml:space="preserve">The broker</w:t>
      </w:r>
      <w:r>
        <w:t xml:space="preserve"> is the OpenShell supervisor middleware with the gate on its request path. It turns model text into a typed request with a schema, attaches the attestation token and the witness assertions, and sends it to the gate. It proposes. It never decides: not the rule, not the risk class, not the path. A broker that is compromised can send malformed requests, wrong requests or no requests; it cannot send an approved one. Actions that fit no schema are logged and surfaced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Classifiers and observers may add alarms; none may clear one. Alignment training lowers the rate of bad proposals; it is not the floor.</w:t>
      </w:r>
    </w:p>
    <w:p>
      <w:pPr>
        <w:spacing w:after="160" w:line="276" w:lineRule="auto"/>
      </w:pPr>
      <w:r>
        <w:t xml:space="preserve">The first draft said that adding alarms can only improve safety. The narrower claim: additional alarms reduce approvals, and false stops have costs that can themselves be hazards, which is the safe-transition point again. The observer lane's job is to be cheap and early, and the gate's job is to make its false positives recoverable: a held request waits for a person;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authority flows down toward the device. The whole protocol is a small set of signed messages: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045"/>
        <w:gridCol w:w="1329"/>
        <w:gridCol w:w="1520"/>
        <w:gridCol w:w="2505"/>
        <w:gridCol w:w="1961"/>
      </w:tblGrid>
      <w:tr>
        <w:trPr>
          <w:cantSplit/>
          <w:tblHeader/>
        </w:trPr>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Message</w:t>
            </w:r>
          </w:p>
        </w:tc>
        <w:tc>
          <w:tcPr>
            <w:tcW w:type="dxa" w:w="132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From</w:t>
            </w:r>
          </w:p>
        </w:tc>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To</w:t>
            </w:r>
          </w:p>
        </w:tc>
        <w:tc>
          <w:tcPr>
            <w:tcW w:type="dxa" w:w="250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Carries</w:t>
            </w:r>
          </w:p>
        </w:tc>
        <w:tc>
          <w:tcPr>
            <w:tcW w:type="dxa" w:w="196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 and token</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roots; the verifier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 short-lived token naming the workload measurement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hardware, firmware, model and policy are running</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Checker, peer, direction, byte budget, expiry, integrity tag</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for one class of transfer</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Verifiers, 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identity, firmware, model measurement, policy epoch, prompt hash (as claimed), output hash, nonce, time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signed these bytes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Action, typed parameters, attestation token, witness assertions</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the model proposes, bound to an attested workload</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and provenance assertions</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Layers 3 and 2</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risk or status, expiry,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witness spoke about this request</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action, parameter digest, measurement, rule, policy epoch, endpoint, reservation, expiry</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exact action passed every gate</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Commit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reservation is spent; the action is about to happen</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and epoch</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version, expiry, k-of-n signatures; the epoch endpoints bind to</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quorum agreed to these rules</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halt, throttle</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endpoints</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window or command</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authority is present, or wants a stop</w:t>
            </w:r>
          </w:p>
        </w:tc>
      </w:tr>
      <w:tr>
        <w:trPr>
          <w:cantSplit/>
          <w:tblHeader w:val="false"/>
        </w:trPr>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checkpoint</w:t>
            </w:r>
          </w:p>
        </w:tc>
        <w:tc>
          <w:tcPr>
            <w:tcW w:type="dxa" w:w="132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Transparency log</w:t>
            </w:r>
          </w:p>
        </w:tc>
        <w:tc>
          <w:tcPr>
            <w:tcW w:type="dxa" w:w="250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Merkle root, size, head, signature</w:t>
            </w:r>
          </w:p>
        </w:tc>
        <w:tc>
          <w:tcPr>
            <w:tcW w:type="dxa" w:w="19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record has not been rewritten</w:t>
            </w:r>
          </w:p>
        </w:tc>
      </w:tr>
    </w:tbl>
    <w:p>
      <w:pPr>
        <w:spacing w:after="120"/>
      </w:pP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1"/>
        <w:gridCol w:w="1695"/>
        <w:gridCol w:w="2045"/>
        <w:gridCol w:w="2309"/>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6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3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actuate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an attested workload</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Actuate without a ticket; choose its own rule or path</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Capabilities; halt and throttle lines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HBM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actuator</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Execute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6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3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emphasis.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6"/>
        </w:numPr>
        <w:spacing w:after="100" w:line="276" w:lineRule="auto"/>
      </w:pPr>
      <w:r>
        <w:t xml:space="preserve">It cannot read or change any rule, because the rulebook is signed by the governance root and the capability table lives in the controller, behind a signed mailbox.</w:t>
      </w:r>
    </w:p>
    <w:p>
      <w:pPr>
        <w:pStyle w:val="ListParagraph"/>
        <w:numPr>
          <w:ilvl w:val="0"/>
          <w:numId w:val="6"/>
        </w:numPr>
        <w:spacing w:after="100" w:line="276" w:lineRule="auto"/>
      </w:pPr>
      <w:r>
        <w:t xml:space="preserve">It cannot move its weights anywhere unattested, because every enumerated boundary crossing has a checker that only passes traffic to roster members under a capability, and the weight key only decrypts inside an attested enclave. (Permitted channels still need their leakage threat model.)</w:t>
      </w:r>
    </w:p>
    <w:p>
      <w:pPr>
        <w:pStyle w:val="ListParagraph"/>
        <w:numPr>
          <w:ilvl w:val="0"/>
          <w:numId w:val="6"/>
        </w:numPr>
        <w:spacing w:after="100" w:line="276" w:lineRule="auto"/>
      </w:pPr>
      <w:r>
        <w:t xml:space="preserve">It cannot emit an output without a device-provenance record, because the hash engine sits on the output path.</w:t>
      </w:r>
    </w:p>
    <w:p>
      <w:pPr>
        <w:pStyle w:val="ListParagraph"/>
        <w:numPr>
          <w:ilvl w:val="0"/>
          <w:numId w:val="6"/>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6"/>
        </w:numPr>
        <w:spacing w:after="100" w:line="276" w:lineRule="auto"/>
      </w:pPr>
      <w:r>
        <w:t xml:space="preserve">Any alarm it or its classifiers raise counts. No alarm it clears counts.</w:t>
      </w:r>
    </w:p>
    <w:p>
      <w:pPr>
        <w:pStyle w:val="ListParagraph"/>
        <w:numPr>
          <w:ilvl w:val="0"/>
          <w:numId w:val="6"/>
        </w:numPr>
        <w:spacing w:after="100" w:line="276" w:lineRule="auto"/>
      </w:pPr>
      <w:r>
        <w:t xml:space="preserve">It cannot act faster than the rule's path allows, and it cannot act at all on an endpoint whose heartbeat has stopped or whose epoch has moved.</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a lifecycle:</w:t>
      </w:r>
    </w:p>
    <w:p>
      <w:pPr>
        <w:pStyle w:val="ListParagraph"/>
        <w:numPr>
          <w:ilvl w:val="0"/>
          <w:numId w:val="4"/>
        </w:numPr>
        <w:spacing w:after="100" w:line="276" w:lineRule="auto"/>
      </w:pPr>
      <w:r>
        <w:rPr>
          <w:b/>
          <w:bCs/>
        </w:rPr>
        <w:t xml:space="preserve">Load.</w:t>
      </w:r>
      <w:r>
        <w:t xml:space="preserve"> The CPU and GPU enclaves attest to each other. The verifier checks both against the governance root's reference values and issues a token naming the workload measurement. The loader DMAs encrypted weights into HBM under a storage capability; the controller verifies the manifest and extends the measurement. From this moment every record names this model.</w:t>
      </w:r>
    </w:p>
    <w:p>
      <w:pPr>
        <w:pStyle w:val="ListParagraph"/>
        <w:numPr>
          <w:ilvl w:val="0"/>
          <w:numId w:val="4"/>
        </w:numPr>
        <w:spacing w:after="100" w:line="276" w:lineRule="auto"/>
      </w:pPr>
      <w:r>
        <w:rPr>
          <w:b/>
          <w:bCs/>
        </w:rPr>
        <w:t xml:space="preserve">Serve.</w:t>
      </w:r>
      <w:r>
        <w:t xml:space="preserve"> Prompts are tokenized in the CPU enclave and copied in under the host capability. Kernels run with no gate. Activations move between ranks under the roster capability. Sampled tokens cross the output path, where the controller hashes them.</w:t>
      </w:r>
    </w:p>
    <w:p>
      <w:pPr>
        <w:pStyle w:val="ListParagraph"/>
        <w:numPr>
          <w:ilvl w:val="0"/>
          <w:numId w:val="4"/>
        </w:numPr>
        <w:spacing w:after="100" w:line="276" w:lineRule="auto"/>
      </w:pPr>
      <w:r>
        <w:rPr>
          <w:b/>
          <w:bCs/>
        </w:rPr>
        <w:t xml:space="preserve">Emit.</w:t>
      </w:r>
      <w:r>
        <w:t xml:space="preserve"> The serving stack requests a device-provenance record. The response leaves the sandbox only toward endpoints the policy names; the NIC filter enforces the same rule below the kernel.</w:t>
      </w:r>
    </w:p>
    <w:p>
      <w:pPr>
        <w:pStyle w:val="ListParagraph"/>
        <w:numPr>
          <w:ilvl w:val="0"/>
          <w:numId w:val="4"/>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4"/>
        </w:numPr>
        <w:spacing w:after="100" w:line="276" w:lineRule="auto"/>
      </w:pPr>
      <w:r>
        <w:rPr>
          <w:b/>
          <w:bCs/>
        </w:rPr>
        <w:t xml:space="preserve">Train.</w:t>
      </w:r>
      <w:r>
        <w:t xml:space="preserve"> Dataset shards enter under a storage capability that names their manifest; the controller meters the run per model measurement; a policy may require a license token above a compute threshold.</w:t>
      </w:r>
    </w:p>
    <w:p>
      <w:pPr>
        <w:pStyle w:val="ListParagraph"/>
        <w:numPr>
          <w:ilvl w:val="0"/>
          <w:numId w:val="4"/>
        </w:numPr>
        <w:spacing w:after="100" w:line="276" w:lineRule="auto"/>
      </w:pPr>
      <w:r>
        <w:rPr>
          <w:b/>
          <w:bCs/>
        </w:rPr>
        <w:t xml:space="preserve">Update.</w:t>
      </w:r>
      <w:r>
        <w:t xml:space="preserve"> A new policy image arrives with k-of-n signatures and an expiry; the gate loads it, the epoch moves, outstanding tickets from the old epoch die.</w:t>
      </w:r>
    </w:p>
    <w:p>
      <w:pPr>
        <w:pStyle w:val="ListParagraph"/>
        <w:numPr>
          <w:ilvl w:val="0"/>
          <w:numId w:val="4"/>
        </w:numPr>
        <w:spacing w:after="100" w:line="276" w:lineRule="auto"/>
      </w:pPr>
      <w:r>
        <w:rPr>
          <w:b/>
          <w:bCs/>
        </w:rPr>
        <w:t xml:space="preserve">Stop.</w:t>
      </w:r>
      <w:r>
        <w:t xml:space="preserve"> A signed halt, or a missed heartbeat, moves the controller to its safe mode and every endpoint to its specified safe transition.</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request end to end</w:t>
      </w:r>
    </w:p>
    <w:p>
      <w:pPr>
        <w:pStyle w:val="ListParagraph"/>
        <w:numPr>
          <w:ilvl w:val="0"/>
          <w:numId w:val="7"/>
        </w:numPr>
        <w:spacing w:after="100" w:line="276" w:lineRule="auto"/>
      </w:pPr>
      <w:r>
        <w:t xml:space="preserve">A prompt arrives at the serving process, which runs inside an OpenShell sandbox inside the CPU enclave. The tokenizer turns text into int32 token IDs, which a copy engine moves into HBM under the host capability.</w:t>
      </w:r>
    </w:p>
    <w:p>
      <w:pPr>
        <w:pStyle w:val="ListParagraph"/>
        <w:numPr>
          <w:ilvl w:val="0"/>
          <w:numId w:val="7"/>
        </w:numPr>
        <w:spacing w:after="100" w:line="276" w:lineRule="auto"/>
      </w:pPr>
      <w:r>
        <w:t xml:space="preserve">The runtime launches CUDA kernels: prefill, then the decode loop, inside the GPU enclave, with the weights and the KV cache in firewalled HBM. Across tensor-parallel ranks, activations move over NVLink under roster-bound peer mappings and link keys.</w:t>
      </w:r>
    </w:p>
    <w:p>
      <w:pPr>
        <w:pStyle w:val="ListParagraph"/>
        <w:numPr>
          <w:ilvl w:val="0"/>
          <w:numId w:val="7"/>
        </w:numPr>
        <w:spacing w:after="100" w:line="276" w:lineRule="auto"/>
      </w:pPr>
      <w:r>
        <w:t xml:space="preserve">Each decode step copies sampled token IDs back to the host. The copy engine's checker passes the descriptor; the controller's hash engine folds the bytes into the request's running hash. At the end of the response the runtime requests the device-provenance record.</w:t>
      </w:r>
    </w:p>
    <w:p>
      <w:pPr>
        <w:pStyle w:val="ListParagraph"/>
        <w:numPr>
          <w:ilvl w:val="0"/>
          <w:numId w:val="7"/>
        </w:numPr>
        <w:spacing w:after="100" w:line="276" w:lineRule="auto"/>
      </w:pPr>
      <w:r>
        <w:t xml:space="preserve">The broker parses the response into a typed request, attaches the attestation token and the witness assertions, and submits it to the gate.</w:t>
      </w:r>
    </w:p>
    <w:p>
      <w:pPr>
        <w:pStyle w:val="ListParagraph"/>
        <w:numPr>
          <w:ilvl w:val="0"/>
          <w:numId w:val="7"/>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7"/>
        </w:numPr>
        <w:spacing w:after="100" w:line="276" w:lineRule="auto"/>
      </w:pPr>
      <w:r>
        <w:t xml:space="preserve">The endpoint admits the ticket, burns it durably, commits the reservation at the gate, re-checks against its own sensors and lists, and acts. If the gate is unreachable, it fails closed.</w:t>
      </w:r>
    </w:p>
    <w:p>
      <w:pPr>
        <w:pStyle w:val="ListParagraph"/>
        <w:numPr>
          <w:ilvl w:val="0"/>
          <w:numId w:val="7"/>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Two measurements, not one: the controller's own overhead, and the whole protected deployment's, including tail latency, small requests, collective communication, logging pressure and revocation.</w:t>
      </w:r>
    </w:p>
    <w:p>
      <w:pPr>
        <w:pStyle w:val="Heading1"/>
        <w:keepNext/>
      </w:pPr>
      <w:r>
        <w:t xml:space="preserve">The experiment program</w:t>
      </w:r>
    </w:p>
    <w:p>
      <w:pPr>
        <w:spacing w:after="160" w:line="276" w:lineRule="auto"/>
      </w:pPr>
      <w:r>
        <w:t xml:space="preserve">Each piece above carries a claim. What follows is the program that proves or disproves them, reordered after the review so that the contract at the action boundary is proved first, because everything else is built to preserve it.</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4471"/>
        <w:gridCol w:w="4889"/>
      </w:tblGrid>
      <w:tr>
        <w:trPr>
          <w:cantSplit/>
          <w:tblHeader/>
        </w:trPr>
        <w:tc>
          <w:tcPr>
            <w:tcW w:type="dxa" w:w="447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48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the catalogue</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USD, exactly 8 allowed), </w:t>
            </w:r>
            <w:r>
              <w:rPr>
                <w:rFonts w:ascii="Consolas" w:cs="Consolas" w:eastAsia="Consolas" w:hAnsi="Consolas"/>
                <w:color w:val="2C2C2A"/>
                <w:sz w:val="16"/>
                <w:szCs w:val="16"/>
              </w:rPr>
              <w:t xml:space="preserve">TX.budget_exhausted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the first draft's "software tests everything except tamperproofness" was too generous.</w:t>
      </w:r>
    </w:p>
    <w:p>
      <w:pPr>
        <w:spacing w:after="160" w:line="276" w:lineRule="auto"/>
      </w:pPr>
      <w:r>
        <w:rPr>
          <w:b/>
          <w:bCs/>
        </w:rPr>
        <w:t xml:space="preserve">Phase 2: the controller on a DPU, and workload attestation.</w:t>
      </w:r>
      <w:r>
        <w:t xml:space="preserve"> Placement A: the Layer 4 block as a DOCA application on BlueField-4 beside Sentry, with its own root of trust and its own state, enforcing on every packet and storage request that crosses the node's path to the model; plus workload attestation of the serving stack inside the CPU TEE, so the gate's "attested?" question covers the runtime that builds requests. The red team holds host root. The same catalogue runs over a real PCIe and Ethernet path. What Phase 2 proves is non-bypassability on the DPU's path. What it cannot prove is coverage of internal GPU and NVLink paths, which is the whole reason Phase 3 exists.</w:t>
      </w:r>
    </w:p>
    <w:p>
      <w:pPr>
        <w:spacing w:after="160" w:line="276" w:lineRule="auto"/>
      </w:pPr>
      <w:r>
        <w:rPr>
          <w:b/>
          <w:bCs/>
        </w:rPr>
        <w:t xml:space="preserve">Phase 3: vendor silicon.</w:t>
      </w:r>
      <w:r>
        <w:t xml:space="preserve"> Placement C: enforcement points inside the GPU (descriptor checks on copy engines, roster-bound peer mappings, link keys, a storage-channel capability), a signing call in the driver, the model manifest and policy digest in the attestation report, and the same catalogue re-run against an RTL simulation. This is the ask of the chip vendors, and it is a short list.</w:t>
      </w:r>
    </w:p>
    <w:p>
      <w:pPr>
        <w:spacing w:after="160" w:line="276" w:lineRule="auto"/>
      </w:pPr>
      <w:r>
        <w:rPr>
          <w:b/>
          <w:bCs/>
        </w:rPr>
        <w:t xml:space="preserve">The hypotheses, and what would falsify each.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grants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measurement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enumerated path without a capability, or a path is found that the enumeration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path</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bl>
    <w:p>
      <w:pPr>
        <w:spacing w:after="120"/>
      </w:pPr>
    </w:p>
    <w:p>
      <w:pPr>
        <w:spacing w:after="160" w:line="276" w:lineRule="auto"/>
      </w:pPr>
      <w:r>
        <w:t xml:space="preserve">The catalogue is the constant across all three phases. A phase is finished when the same sweep passes against that phase's artefact.</w:t>
      </w:r>
    </w:p>
    <w:p>
      <w:pPr>
        <w:pStyle w:val="Heading1"/>
        <w:keepNext/>
      </w:pPr>
      <w:r>
        <w:t xml:space="preserve">Tightened claims</w:t>
      </w:r>
    </w:p>
    <w:p>
      <w:pPr>
        <w:spacing w:after="160" w:line="276" w:lineRule="auto"/>
      </w:pPr>
      <w:r>
        <w:t xml:space="preserve">The reviewer's table, adopted in full.</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995"/>
        <w:gridCol w:w="5365"/>
      </w:tblGrid>
      <w:tr>
        <w:trPr>
          <w:cantSplit/>
          <w:tblHeader/>
        </w:trPr>
        <w:tc>
          <w:tcPr>
            <w:tcW w:type="dxa" w:w="39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First draft said</w:t>
            </w:r>
          </w:p>
        </w:tc>
        <w:tc>
          <w:tcPr>
            <w:tcW w:type="dxa" w:w="53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 says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weights can leave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Unauthorized transfers are blocked at every enumerated enforcement point; the permitted output channel has its own leakage threat model and limits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everything except tamperproofness</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policy and protocol logic; hardware coverage, reset behaviour, timing, isolation and physical failures need separate validation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Adding alarms can only improve safety</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Additional alarms reduce approvals; false stops and unsafe shutdowns can introduce hazards, so each endpoint defines its safe transition and each witness has a recoverable false-positive path</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Failure always means an action not taken</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application defines a safe transition; for some devices "stop" is the hazard</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small verified controller makes the stack verifiable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claimed property depends on hardware, firmware, drivers, configuration and the proof's stated assumptions; seL4's assumptions about hardware and DMA are the model for writing them down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hard watermark</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detachable device-provenance record; workload provenance and execution integrity are separate claims with separate mechanisms, and a watermark is a different tool</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Reversible actions execute and are audited later</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action is authorized; the rule decides the fast or the slow path; the audit happens either way</w:t>
            </w:r>
          </w:p>
        </w:tc>
      </w:tr>
    </w:tbl>
    <w:p>
      <w:pPr>
        <w:spacing w:after="120"/>
      </w:pPr>
    </w:p>
    <w:p>
      <w:pPr>
        <w:pStyle w:val="Heading1"/>
        <w:keepNext/>
      </w:pPr>
      <w:r>
        <w:t xml:space="preserve">What exists, what is missing, who builds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606"/>
        <w:gridCol w:w="3095"/>
        <w:gridCol w:w="2694"/>
        <w:gridCol w:w="1965"/>
      </w:tblGrid>
      <w:tr>
        <w:trPr>
          <w:cantSplit/>
          <w:tblHeader/>
        </w:trPr>
        <w:tc>
          <w:tcPr>
            <w:tcW w:type="dxa" w:w="16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30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9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OpenTitan, Pluton, Titan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Hopper and Blackwell confidential computing, attestation, TEE-I/O on Blackwell; CPU TEEs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measurement by default; one report format across vendors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shipping as a unit; the closest analogs are the GSP, Pluton, BlueField-4's own root, and the hardware-governance proposals from CNAS and the flexHEG group</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Capability-checked descriptors, roster-bound peer mappings, output signing, metering, k-of-n policy, signed log</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with regulators;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OpenShell (Landlock, egress proxy, credential injection)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r>
              <w:rPr>
                <w:rFonts w:ascii="Consolas" w:cs="Consolas" w:eastAsia="Consolas" w:hAnsi="Consolas"/>
                <w:color w:val="2C2C2A"/>
                <w:sz w:val="16"/>
                <w:szCs w:val="16"/>
              </w:rPr>
              <w:t xml:space="preserve">oasp.py</w:t>
            </w:r>
            <w:r>
              <w:rPr>
                <w:rFonts w:ascii="Georgia" w:cs="Georgia" w:eastAsia="Georgia" w:hAnsi="Georgia"/>
                <w:color w:val="2C2C2A"/>
                <w:sz w:val="18"/>
                <w:szCs w:val="18"/>
              </w:rPr>
              <w:t xml:space="preserv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rulebook, witnesses, budgets, holds, tickets, epochs, durable state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geofences, fuze safety interlocks, process-plant safety systems, HSMs;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as the functional reference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consumed sets and heartbeat in guidance and payment silicon; per-application safe transitions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two-person rules; approval workflows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measurement</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pStyle w:val="ListParagraph"/>
        <w:numPr>
          <w:ilvl w:val="0"/>
          <w:numId w:val="4"/>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4"/>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4"/>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4"/>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4"/>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4"/>
        </w:numPr>
        <w:spacing w:after="100" w:line="276" w:lineRule="auto"/>
      </w:pPr>
      <w:r>
        <w:t xml:space="preserve">Coverage. The compute-side silicon governs only hardware that implements it, and the contract holds only inside a declared boundary. Older GPUs, other vendors, inference split across unattested devices, and endpoints that do not enforce tickets are outside it.</w:t>
      </w:r>
    </w:p>
    <w:p>
      <w:pPr>
        <w:pStyle w:val="ListParagraph"/>
        <w:numPr>
          <w:ilvl w:val="0"/>
          <w:numId w:val="4"/>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4"/>
        </w:numPr>
        <w:spacing w:after="100" w:line="276" w:lineRule="auto"/>
      </w:pPr>
      <w:r>
        <w:t xml:space="preserve">Availability. A heartbeat scheme too aggressive turns a safety mechanism into an outage; a safe transition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Appendix A: the controller's mailbox</w:t>
      </w:r>
    </w:p>
    <w:p>
      <w:pPr>
        <w:spacing w:after="160" w:line="276" w:lineRule="auto"/>
      </w:pPr>
      <w:r>
        <w:t xml:space="preserve">Every command is a signed request; every response is a signed record. There are no writable registers.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760"/>
        <w:gridCol w:w="3023"/>
        <w:gridCol w:w="1742"/>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Command</w:t>
            </w:r>
          </w:p>
        </w:tc>
        <w:tc>
          <w:tcPr>
            <w:tcW w:type="dxa" w:w="276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Arguments</w:t>
            </w:r>
          </w:p>
        </w:tc>
        <w:tc>
          <w:tcPr>
            <w:tcW w:type="dxa" w:w="30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Returns</w:t>
            </w:r>
          </w:p>
        </w:tc>
        <w:tc>
          <w:tcPr>
            <w:tcW w:type="dxa" w:w="17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may call</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and epoch, capability-table digest, counters</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BEGIN_MODEL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Publisher-signed manifest of tensor hashes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 extended; the model digest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 inside the enclave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Counters finalized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CAP_REQUEST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peer identity, direction, byte budget, time-to-live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Capability, or a denial with reason</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via the GSP</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ROSTER_JOIN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attestation report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Roster id; peer capability; link key material</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at job start</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EP_CONFIGURE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capability set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Acknowledgement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 only, from policy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SIGN_OUTPUT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Stream id, claimed prompt hash, 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POLICY_PROPOSE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version, expiry, signatures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Accepted if the threshold is met; the new epoch</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HEARTBEAT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token</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Timer reset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HALT</w:t>
            </w:r>
            <w:r>
              <w:rPr>
                <w:rFonts w:ascii="Georgia" w:cs="Georgia" w:eastAsia="Georgia" w:hAnsi="Georgia"/>
                <w:color w:val="2C2C2A"/>
                <w:sz w:val="18"/>
                <w:szCs w:val="18"/>
              </w:rPr>
              <w:t xml:space="preserve"> / </w:t>
            </w:r>
            <w:r>
              <w:rPr>
                <w:rFonts w:ascii="Consolas" w:cs="Consolas" w:eastAsia="Consolas" w:hAnsi="Consolas"/>
                <w:color w:val="2C2C2A"/>
                <w:sz w:val="16"/>
                <w:szCs w:val="16"/>
              </w:rPr>
              <w:t xml:space="preserve">THROTTLE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command</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Lines asserted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LOG_CHECKPOINT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Merkle root, size, head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COUNTERS</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bytes in and out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EXCEPTION_DRAIN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Refused transactions since the last drain, for the log</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w:t>
            </w:r>
          </w:p>
        </w:tc>
      </w:tr>
    </w:tbl>
    <w:p>
      <w:pPr>
        <w:spacing w:after="120"/>
      </w:pPr>
    </w:p>
    <w:p>
      <w:pPr>
        <w:pStyle w:val="Heading1"/>
        <w:keepNext/>
      </w:pPr>
      <w:r>
        <w:t xml:space="preserve">Appendix B: the capability</w:t>
      </w:r>
    </w:p>
    <w:p>
      <w:pPr>
        <w:spacing w:after="160" w:line="276" w:lineRule="auto"/>
      </w:pPr>
      <w:r>
        <w:t xml:space="preserve">One row per permitted class of traffic at one enforcement point. The default table is empty except for what the policy and the roster add.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18"/>
        <w:gridCol w:w="7542"/>
      </w:tblGrid>
      <w:tr>
        <w:trPr>
          <w:cantSplit/>
          <w:tblHeader/>
        </w:trPr>
        <w:tc>
          <w:tcPr>
            <w:tcW w:type="dxa" w:w="181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75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point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copy engine, peer mapping, link, RDMA filter, storage channel</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peer</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Attested identity of the other end: a roster member, the host enclave, a storage manifest, a NIC flow</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direction</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 out, or both</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Bytes permitted before the capability expires</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expiry</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 or job end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under which this row was added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mac</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Controller-keyed integrity tag</w:t>
            </w:r>
          </w:p>
        </w:tc>
      </w:tr>
    </w:tbl>
    <w:p>
      <w:pPr>
        <w:spacing w:after="120"/>
      </w:pPr>
    </w:p>
    <w:p>
      <w:pPr>
        <w:spacing w:after="160" w:line="276" w:lineRule="auto"/>
      </w:pPr>
      <w:r>
        <w:t xml:space="preserve">A transaction that matches no row is refused at the checker, and the refusal is drained to the log with its source, destination and size.</w:t>
      </w:r>
    </w:p>
    <w:p>
      <w:pPr>
        <w:pStyle w:val="Heading1"/>
        <w:keepNext/>
      </w:pPr>
      <w:r>
        <w:t xml:space="preserve">Appendix C: the ticket and the reservation</w:t>
      </w:r>
    </w:p>
    <w:p>
      <w:pPr>
        <w:spacing w:after="160" w:line="276" w:lineRule="auto"/>
      </w:pPr>
      <w:r>
        <w:t xml:space="preserve">The ticket as </w:t>
      </w:r>
      <w:r>
        <w:rPr>
          <w:rFonts w:ascii="Consolas" w:cs="Consolas" w:eastAsia="Consolas" w:hAnsi="Consolas"/>
          <w:sz w:val="20"/>
          <w:szCs w:val="20"/>
        </w:rPr>
        <w:t xml:space="preserve">gate.py</w:t>
      </w:r>
      <w:r>
        <w:t xml:space="preserve"> mints it today, with the fields the review added marked.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083"/>
        <w:gridCol w:w="6277"/>
      </w:tblGrid>
      <w:tr>
        <w:trPr>
          <w:cantSplit/>
          <w:tblHeader/>
        </w:trPr>
        <w:tc>
          <w:tcPr>
            <w:tcW w:type="dxa" w:w="30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627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ticket_id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Random, single-use; burned durably at the endpoint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request_hash</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of request id, measurement, action and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action</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params_digest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may happen, and with exactly which parameters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measurement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workload the grant was made to</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rule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entry that allowed it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policy_id</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epoch; the endpoint refuses any other</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w:t>
            </w:r>
            <w:r>
              <w:rPr>
                <w:rFonts w:ascii="Georgia" w:cs="Georgia" w:eastAsia="Georgia" w:hAnsi="Georgia"/>
                <w:color w:val="2C2C2A"/>
                <w:sz w:val="18"/>
                <w:szCs w:val="18"/>
              </w:rPr>
              <w:t xml:space="preserve"> (added, optional)</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registry the ticket is valid at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budget_key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reservation</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shared allowance and the reservation held against it; committed by the endpoint before it executes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issued_at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expires_at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Lifetime; an unexecuted reservation is released at expiry</w:t>
            </w:r>
          </w:p>
        </w:tc>
      </w:tr>
      <w:tr>
        <w:trPr>
          <w:cantSplit/>
          <w:tblHeader w:val="false"/>
        </w:trPr>
        <w:tc>
          <w:tcPr>
            <w:tcW w:type="dxa" w:w="30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gate's key, derived from what booted</w:t>
            </w:r>
          </w:p>
        </w:tc>
      </w:tr>
    </w:tbl>
    <w:p>
      <w:pPr>
        <w:spacing w:after="120"/>
      </w:pPr>
    </w:p>
    <w:p>
      <w:pPr>
        <w:pStyle w:val="Heading1"/>
        <w:keepNext/>
      </w:pPr>
      <w:r>
        <w:t xml:space="preserve">Appendix D: the device-provenance record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920"/>
        <w:gridCol w:w="3527"/>
        <w:gridCol w:w="3913"/>
      </w:tblGrid>
      <w:tr>
        <w:trPr>
          <w:cantSplit/>
          <w:tblHeader/>
        </w:trPr>
        <w:tc>
          <w:tcPr>
            <w:tcW w:type="dxa" w:w="19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35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c>
          <w:tcPr>
            <w:tcW w:type="dxa" w:w="391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chip_id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fw_measurement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identity; the hash chain from the root</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device and firmware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model_digest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From </w:t>
            </w:r>
            <w:r>
              <w:rPr>
                <w:rFonts w:ascii="Consolas" w:cs="Consolas" w:eastAsia="Consolas" w:hAnsi="Consolas"/>
                <w:color w:val="2C2C2A"/>
                <w:sz w:val="16"/>
                <w:szCs w:val="16"/>
              </w:rPr>
              <w:t xml:space="preserve">BEGIN_MODEL</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model was loaded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active policy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rules were in force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roster_id</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attested group that ran the job</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peers were allowed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prompt_hash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As supplied by the serving stack</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stack's claim about the input, authenticated, not verified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output_hash</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token_count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of the bytes that crossed the output path</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These bytes left this device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nonce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time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counters</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Freshness and metering</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When, and how much compute</w:t>
            </w:r>
          </w:p>
        </w:tc>
      </w:tr>
      <w:tr>
        <w:trPr>
          <w:cantSplit/>
          <w:tblHeader w:val="false"/>
        </w:trPr>
        <w:tc>
          <w:tcPr>
            <w:tcW w:type="dxa" w:w="19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Chip-bound key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device signed all of the above</w:t>
            </w:r>
          </w:p>
        </w:tc>
      </w:tr>
    </w:tbl>
    <w:p>
      <w:pPr>
        <w:spacing w:after="120"/>
      </w:pPr>
    </w:p>
    <w:p>
      <w:pPr>
        <w:spacing w:after="160" w:line="276" w:lineRule="auto"/>
      </w:pPr>
      <w:r>
        <w:t xml:space="preserve">This record is what the provenance lane can anchor to and what the gate can require. It establishes device provenance. Workload provenance needs the attested runtime's own record alongside it; execution integrity needs work that has not been done.</w:t>
      </w:r>
    </w:p>
    <w:p>
      <w:pPr>
        <w:pStyle w:val="Heading1"/>
        <w:keepNext/>
      </w:pPr>
      <w:r>
        <w:t xml:space="preserve">Further reading</w:t>
      </w:r>
    </w:p>
    <w:p>
      <w:pPr>
        <w:pStyle w:val="ListParagraph"/>
        <w:numPr>
          <w:ilvl w:val="0"/>
          <w:numId w:val="4"/>
        </w:numPr>
        <w:spacing w:after="100" w:line="276" w:lineRule="auto"/>
      </w:pPr>
      <w:r>
        <w:t xml:space="preserve">J. P. Anderson, </w:t>
      </w:r>
      <w:r>
        <w:rPr>
          <w:i/>
          <w:iCs/>
        </w:rPr>
        <w:t xml:space="preserve">Computer Security Technology Planning Study</w:t>
      </w:r>
      <w:r>
        <w:t xml:space="preserve"> (1972), the reference-monitor concept.</w:t>
      </w:r>
    </w:p>
    <w:p>
      <w:pPr>
        <w:pStyle w:val="ListParagraph"/>
        <w:numPr>
          <w:ilvl w:val="0"/>
          <w:numId w:val="4"/>
        </w:numPr>
        <w:spacing w:after="100" w:line="276" w:lineRule="auto"/>
      </w:pPr>
      <w:r>
        <w:t xml:space="preserve">O. Aarne, T. Fist and C. Withers, </w:t>
      </w:r>
      <w:r>
        <w:rPr>
          <w:i/>
          <w:iCs/>
        </w:rPr>
        <w:t xml:space="preserve">Secure, Governable Chips</w:t>
      </w:r>
      <w:r>
        <w:t xml:space="preserve">, Center for a New American Security (2024).</w:t>
      </w:r>
    </w:p>
    <w:p>
      <w:pPr>
        <w:pStyle w:val="ListParagraph"/>
        <w:numPr>
          <w:ilvl w:val="0"/>
          <w:numId w:val="4"/>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CUDA Programming Guide, multi-GPU systems: direct peer-memory access by GPU threads.</w:t>
      </w:r>
    </w:p>
    <w:p>
      <w:pPr>
        <w:pStyle w:val="ListParagraph"/>
        <w:numPr>
          <w:ilvl w:val="0"/>
          <w:numId w:val="4"/>
        </w:numPr>
        <w:spacing w:after="100" w:line="276" w:lineRule="auto"/>
      </w:pPr>
      <w:r>
        <w:t xml:space="preserve">NVIDIA Attestation SDK documentation: verification of measured GPU state against reference measurements.</w:t>
      </w:r>
    </w:p>
    <w:p>
      <w:pPr>
        <w:pStyle w:val="ListParagraph"/>
        <w:numPr>
          <w:ilvl w:val="0"/>
          <w:numId w:val="4"/>
        </w:numPr>
        <w:spacing w:after="100" w:line="276" w:lineRule="auto"/>
      </w:pPr>
      <w:r>
        <w:t xml:space="preserve">The seL4 project's verification assumptions: what the proofs assume about hardware and DMA.</w:t>
      </w:r>
    </w:p>
    <w:p>
      <w:pPr>
        <w:pStyle w:val="ListParagraph"/>
        <w:numPr>
          <w:ilvl w:val="0"/>
          <w:numId w:val="4"/>
        </w:numPr>
        <w:spacing w:after="100" w:line="276" w:lineRule="auto"/>
      </w:pPr>
      <w:r>
        <w:t xml:space="preserve">IEC 61508 and IEC 61511, functional safety of safety instrumented systems.</w:t>
      </w:r>
    </w:p>
    <w:p>
      <w:pPr>
        <w:pStyle w:val="ListParagraph"/>
        <w:numPr>
          <w:ilvl w:val="0"/>
          <w:numId w:val="4"/>
        </w:numPr>
        <w:spacing w:after="100" w:line="276" w:lineRule="auto"/>
      </w:pPr>
      <w:r>
        <w:t xml:space="preserve">NVIDIA, "NVIDIA Open Agent Safety Platform" and "Add Runtime Controls to AI Agents with NVIDIA OpenShell" (28 September 2026); </w:t>
      </w:r>
      <w:hyperlink w:history="1" r:id="rIdeerf9-f9j3d0orbd_dprl">
        <w:r>
          <w:rPr>
            <w:rStyle w:val="Hyperlink"/>
          </w:rPr>
          <w:t xml:space="preserve">NVIDIA OpenShell on GitHub</w:t>
        </w:r>
      </w:hyperlink>
      <w:r>
        <w:t xml:space="preserve">.</w:t>
      </w:r>
    </w:p>
    <w:p>
      <w:pPr>
        <w:pStyle w:val="ListParagraph"/>
        <w:numPr>
          <w:ilvl w:val="0"/>
          <w:numId w:val="4"/>
        </w:numPr>
        <w:spacing w:after="100" w:line="276" w:lineRule="auto"/>
      </w:pPr>
      <w:r>
        <w:t xml:space="preserve">RFC 9334 (Remote Attestation Procedures), RFC 6962 (Certificate Transparency), the TCG DICE specifications.</w:t>
      </w:r>
    </w:p>
    <w:p>
      <w:pPr>
        <w:pStyle w:val="ListParagraph"/>
        <w:numPr>
          <w:ilvl w:val="0"/>
          <w:numId w:val="4"/>
        </w:numPr>
        <w:spacing w:after="100" w:line="276" w:lineRule="auto"/>
      </w:pPr>
      <w:r>
        <w:t xml:space="preserve">This repository: </w:t>
      </w:r>
      <w:hyperlink w:history="1" r:id="rId22kdckp-u3q5pbbqq1qig">
        <w:r>
          <w:rPr>
            <w:rStyle w:val="Hyperlink"/>
          </w:rPr>
          <w:t xml:space="preserve">`docs/CHIP_DESIGN.md`</w:t>
        </w:r>
      </w:hyperlink>
      <w:r>
        <w:t xml:space="preserve"> (the design as a specification), </w:t>
      </w:r>
      <w:hyperlink w:history="1" r:id="rId5n3yllca_nrrjnzn9sowv">
        <w:r>
          <w:rPr>
            <w:rStyle w:val="Hyperlink"/>
          </w:rPr>
          <w:t xml:space="preserve">`docs/PROTOTYPING.md`</w:t>
        </w:r>
      </w:hyperlink>
      <w:r>
        <w:t xml:space="preserve"> (the experiment program), </w:t>
      </w:r>
      <w:hyperlink w:history="1" r:id="rIdfd2_gdrgjrgbahgvemeaa">
        <w:r>
          <w:rPr>
            <w:rStyle w:val="Hyperlink"/>
          </w:rPr>
          <w:t xml:space="preserve">`docs/REVIEW-2026-10.md`</w:t>
        </w:r>
      </w:hyperlink>
      <w:r>
        <w:t xml:space="preserve"> (the review and what changed).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erf9-f9j3d0orbd_dprl" Type="http://schemas.openxmlformats.org/officeDocument/2006/relationships/hyperlink" Target="https://github.com/nvidia/openshell" TargetMode="External"/><Relationship Id="rId22kdckp-u3q5pbbqq1qig" Type="http://schemas.openxmlformats.org/officeDocument/2006/relationships/hyperlink" Target="../docs/CHIP_DESIGN.md" TargetMode="External"/><Relationship Id="rId5n3yllca_nrrjnzn9sowv" Type="http://schemas.openxmlformats.org/officeDocument/2006/relationships/hyperlink" Target="../docs/PROTOTYPING.md" TargetMode="External"/><Relationship Id="rIdfd2_gdrgjrgbahgvemeaa" Type="http://schemas.openxmlformats.org/officeDocument/2006/relationships/hyperlink" Target="../docs/REVIEW-2026-10.md"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12" Type="http://schemas.openxmlformats.org/officeDocument/2006/relationships/image" Target="media/6eadcf89bb46a227a60703073a5c8c67bfb06401.png"/><Relationship Id="rId13" Type="http://schemas.openxmlformats.org/officeDocument/2006/relationships/image" Target="media/5a9a9a5ab13127c7d0c609ba695444680a4363b2.png"/><Relationship Id="rId14" Type="http://schemas.openxmlformats.org/officeDocument/2006/relationships/image" Target="media/89c5e37ce32cc61cc08bbd647a79898f4ffcd55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3</dc:title>
  <dc:creator>Yobie Benjamin</dc:creator>
  <cp:lastModifiedBy>Un-named</cp:lastModifiedBy>
  <cp:revision>1</cp:revision>
  <dcterms:created xsi:type="dcterms:W3CDTF">2026-10-12T22:54:21.833Z</dcterms:created>
  <dcterms:modified xsi:type="dcterms:W3CDTF">2026-10-12T22:54:21.833Z</dcterms:modified>
</cp:coreProperties>
</file>

<file path=docProps/custom.xml><?xml version="1.0" encoding="utf-8"?>
<Properties xmlns="http://schemas.openxmlformats.org/officeDocument/2006/custom-properties" xmlns:vt="http://schemas.openxmlformats.org/officeDocument/2006/docPropsVTypes"/>
</file>