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4 of 4: the silicon design, the compute side and the governor in the rack</w:t>
      </w:r>
    </w:p>
    <w:p>
      <w:pPr>
        <w:pBdr>
          <w:left w:val="single" w:color="185FA5" w:sz="18" w:space="12"/>
        </w:pBdr>
        <w:spacing w:after="240" w:before="120" w:line="276" w:lineRule="auto"/>
        <w:ind w:left="360"/>
      </w:pPr>
      <w:hyperlink w:history="1" r:id="rIdg1y1qil75ntwdcwulhvb5">
        <w:r>
          <w:rPr>
            <w:rStyle w:val="Hyperlink"/>
            <w:i/>
            <w:iCs/>
            <w:color w:val="2C2C2A"/>
            <w:sz w:val="23"/>
            <w:szCs w:val="23"/>
          </w:rPr>
          <w:t xml:space="preserve">Part 3</w:t>
        </w:r>
      </w:hyperlink>
      <w:r>
        <w:rPr>
          <w:i/>
          <w:iCs/>
          <w:color w:val="2C2C2A"/>
          <w:sz w:val="23"/>
          <w:szCs w:val="23"/>
        </w:rPr>
        <w:t xml:space="preserve"> was the action side: the contract, the gate, the ticket and the comparator in the device that acts. That is the guarantee, and it runs today. This post is the other half of the design. First the compute side: the silicon root of trust, the model inside confidential compute, the controller and its enforcement points, and what a signature can and cannot prove. Then how the layers talk to each other and to the model, and one request walked from a prompt to an action. Then the part that is new since my colleague's review: the Safety Governor, a chip that pairs with each NVIDIA GPU through the rack's own boards, holds the keys to the switches the GPU's traffic already passes, and is wired to every other governor in the rack by a wire that cannot be talked out of its job. It needs nothing from NVIDIA to do its job on the server maker's boards, it asks NVIDIA for the wiring on theirs, and the short list of things NVIDIA could add is at the end. The experiment program, the tightened claims and the honest list of what none of this solves close the series. Same voice, same analogies, every product and paper linked where it is named.</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w:t>
      </w:r>
      <w:hyperlink w:history="1" r:id="rIdsue2p-sdog52qknavldlj">
        <w:r>
          <w:rPr>
            <w:rStyle w:val="Hyperlink"/>
          </w:rPr>
          <w:t xml:space="preserve">DICE</w:t>
        </w:r>
      </w:hyperlink>
      <w:r>
        <w:t xml:space="preserv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hyperlink w:history="1" r:id="rIdccobbspuv79zfyas7h-8m">
        <w:r>
          <w:rPr>
            <w:rStyle w:val="Hyperlink"/>
            <w:rFonts w:ascii="Consolas" w:cs="Consolas" w:eastAsia="Consolas" w:hAnsi="Consolas"/>
            <w:sz w:val="20"/>
            <w:szCs w:val="20"/>
          </w:rPr>
          <w:t xml:space="preserve">root.py</w:t>
        </w:r>
      </w:hyperlink>
      <w:r>
        <w:t xml:space="preserve">) and binds the GPU's quote inside the CPU TEE's, which is the composite-attestation pattern of </w:t>
      </w:r>
      <w:hyperlink w:history="1" r:id="rIdvu3imiijf5cii0o_dbzsj">
        <w:r>
          <w:rPr>
            <w:rStyle w:val="Hyperlink"/>
          </w:rPr>
          <w:t xml:space="preserve">NVIDIA confidential computing</w:t>
        </w:r>
      </w:hyperlink>
      <w:r>
        <w:t xml:space="preserve"> and its </w:t>
      </w:r>
      <w:hyperlink w:history="1" r:id="rId-p-cgmrvmu-wubj4bhxsj">
        <w:r>
          <w:rPr>
            <w:rStyle w:val="Hyperlink"/>
          </w:rPr>
          <w:t xml:space="preserve">attestation service</w:t>
        </w:r>
      </w:hyperlink>
      <w:r>
        <w:t xml:space="preserve">.</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On Hopper that means software-encrypted bounce buffers, and NVLink between GPUs stays unencrypted; on Blackwell the NVLink path is encrypted too, and with a compatible CPU the GPU's TEE-I/O capability replaces the bounce buffers with TDISP/IDE link encryption (</w:t>
      </w:r>
      <w:hyperlink w:history="1" r:id="rIdm0v-pf-4ox8f1ltoutvdt">
        <w:r>
          <w:rPr>
            <w:rStyle w:val="Hyperlink"/>
          </w:rPr>
          <w:t xml:space="preserve">NVIDIA's Secure AI white paper</w:t>
        </w:r>
      </w:hyperlink>
      <w:r>
        <w:t xml:space="preserve"> spells out both modes).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w:t>
      </w:r>
      <w:hyperlink w:history="1" r:id="rIdc61csmd4dlbthgnqzyr4z">
        <w:r>
          <w:rPr>
            <w:rStyle w:val="Hyperlink"/>
          </w:rPr>
          <w:t xml:space="preserve">NVIDIA's H100 write-up</w:t>
        </w:r>
      </w:hyperlink>
      <w:r>
        <w:t xml:space="preserve"> is the plainest description). Kernels run unchanged inside the enclave. Copies between the enclaves take the encrypted path. The CPU TEE and the GPU TEE set up their session with an </w:t>
      </w:r>
      <w:hyperlink w:history="1" r:id="rId1qwwbubyoaes00li_r6-9">
        <w:r>
          <w:rPr>
            <w:rStyle w:val="Hyperlink"/>
          </w:rPr>
          <w:t xml:space="preserve">SPDM</w:t>
        </w:r>
      </w:hyperlink>
      <w:r>
        <w:t xml:space="preserve">-based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My first draft called it a governor and described it as one component that handled every transfer. The review's second point changed the architecture: the trusted part stays small, and the enforcement is spread out to the places where traffic actually crosses a boundary. Where that block physically lives is the subject of the next section; the shape of it is the same wherever it sits.</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w:t>
      </w:r>
      <w:hyperlink w:history="1" r:id="rIdwnlisywi9xxkhsyk_ahsq">
        <w:r>
          <w:rPr>
            <w:rStyle w:val="Hyperlink"/>
          </w:rPr>
          <w:t xml:space="preserve">seL4</w:t>
        </w:r>
      </w:hyperlink>
      <w:r>
        <w:t xml:space="preserve">: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 This table is the full, in-package version, the one that needs the GPU vendor. The next section shows how much of it a governor on the rack's boards can deliver today by holding the switches instead of the doors inside the GPU.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82"/>
        <w:gridCol w:w="3583"/>
        <w:gridCol w:w="893"/>
        <w:gridCol w:w="2702"/>
      </w:tblGrid>
      <w:tr>
        <w:trPr>
          <w:cantSplit/>
          <w:tblHeader/>
        </w:trPr>
        <w:tc>
          <w:tcPr>
            <w:tcW w:type="dxa" w:w="21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35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8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70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w:t>
            </w:r>
            <w:hyperlink w:history="1" r:id="rIdohe13rzzxzaofudgcii8f">
              <w:r>
                <w:rPr>
                  <w:rStyle w:val="Hyperlink"/>
                  <w:rFonts w:ascii="Georgia" w:cs="Georgia" w:eastAsia="Georgia" w:hAnsi="Georgia"/>
                  <w:color w:val="2C2C2A"/>
                  <w:sz w:val="18"/>
                  <w:szCs w:val="18"/>
                </w:rPr>
                <w:t xml:space="preserve">TEE-I/O (TDISP and IDE)</w:t>
              </w:r>
            </w:hyperlink>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w:t>
            </w:r>
            <w:hyperlink w:history="1" r:id="rIdw4sbwwasdonyypwaakj_a">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filter tables</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w:t>
            </w:r>
            <w:hyperlink w:history="1" r:id="rId4r69pd2vpvzbxbusnnoq6">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-programmable hardware</w:t>
            </w:r>
          </w:p>
        </w:tc>
      </w:tr>
      <w:tr>
        <w:trPr>
          <w:cantSplit/>
          <w:tblHeader w:val="off"/>
        </w:trPr>
        <w:tc>
          <w:tcPr>
            <w:tcW w:type="dxa" w:w="2182"/>
            <w:tcMar>
              <w:top w:type="dxa" w:w="70"/>
              <w:left w:type="dxa" w:w="100"/>
              <w:bottom w:type="dxa" w:w="70"/>
              <w:right w:type="dxa" w:w="100"/>
            </w:tcMar>
          </w:tcPr>
          <w:p>
            <w:pPr>
              <w:spacing w:after="0" w:line="252" w:lineRule="auto"/>
            </w:pPr>
            <w:hyperlink w:history="1" r:id="rIdrx0xxpvoor0rvfdt9ztww">
              <w:r>
                <w:rPr>
                  <w:rStyle w:val="Hyperlink"/>
                  <w:rFonts w:ascii="Georgia" w:cs="Georgia" w:eastAsia="Georgia" w:hAnsi="Georgia"/>
                  <w:color w:val="2C2C2A"/>
                  <w:sz w:val="18"/>
                  <w:szCs w:val="18"/>
                </w:rPr>
                <w:t xml:space="preserve">GPUDirect Storage</w:t>
              </w:r>
            </w:hyperlink>
            <w:r>
              <w:rPr>
                <w:rFonts w:ascii="Georgia" w:cs="Georgia" w:eastAsia="Georgia" w:hAnsi="Georgia"/>
                <w:color w:val="2C2C2A"/>
                <w:sz w:val="18"/>
                <w:szCs w:val="18"/>
              </w:rPr>
              <w:t xml:space="preserve"> (the delivery door)</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batch window of responses (seventeen milliseconds each on an OTBN-class coprocessor, OpenTitan's published figure, which is why responses are batched under one signature);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w:t>
      </w:r>
      <w:hyperlink w:history="1" r:id="rIdk1bqyqbxm0-gs31ejsmbn">
        <w:r>
          <w:rPr>
            <w:rStyle w:val="Hyperlink"/>
          </w:rPr>
          <w:t xml:space="preserve">OpenShell</w:t>
        </w:r>
      </w:hyperlink>
      <w:r>
        <w:t xml:space="preserve"> as shipped: each agent in its own container, a </w:t>
      </w:r>
      <w:hyperlink w:history="1" r:id="rIdoocnghbf770vpgyf_tg4f">
        <w:r>
          <w:rPr>
            <w:rStyle w:val="Hyperlink"/>
          </w:rPr>
          <w:t xml:space="preserve">Landlock</w:t>
        </w:r>
      </w:hyperlink>
      <w:r>
        <w:t xml:space="preserve"> allowlist of file paths locked at creation, a network policy proxy, credentials substituted outside the agent so the agent never sees the real ones, and GPU device access as a line in the policy. It is the playpen. It bounds the process. Its limit is that it lives inside a kernel of tens of millions of lines, and </w:t>
      </w:r>
      <w:hyperlink w:history="1" r:id="rIdtljkpwi6rdbg5ejmvvwco">
        <w:r>
          <w:rPr>
            <w:rStyle w:val="Hyperlink"/>
          </w:rPr>
          <w:t xml:space="preserve">its own documentation</w:t>
        </w:r>
      </w:hyperlink>
      <w:r>
        <w:t xml:space="preserve"> says the network policy is hot-reloadable at runtime. So the authority to set policy has to move down to the gate, where changing it takes the governance root. The reference already derives OpenShell's network policy from the signed rulebook (</w:t>
      </w:r>
      <w:hyperlink w:history="1" r:id="rId_dkwgys2e9mfiaunj1m-f">
        <w:r>
          <w:rPr>
            <w:rStyle w:val="Hyperlink"/>
            <w:rFonts w:ascii="Consolas" w:cs="Consolas" w:eastAsia="Consolas" w:hAnsi="Consolas"/>
            <w:sz w:val="20"/>
            <w:szCs w:val="20"/>
          </w:rPr>
          <w:t xml:space="preserve">oasp.py</w:t>
        </w:r>
      </w:hyperlink>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p>
      <w:pPr>
        <w:spacing w:after="160" w:line="276" w:lineRule="auto"/>
      </w:pPr>
      <w:r>
        <w:t xml:space="preserve">The ten message types, with what each carries and what it proves, are listed field by field in </w:t>
      </w:r>
      <w:hyperlink w:history="1" r:id="rIdjolvcdariak2kffzrjvt7">
        <w:r>
          <w:rPr>
            <w:rStyle w:val="Hyperlink"/>
            <w:rFonts w:ascii="Consolas" w:cs="Consolas" w:eastAsia="Consolas" w:hAnsi="Consolas"/>
            <w:sz w:val="20"/>
            <w:szCs w:val="20"/>
          </w:rPr>
          <w:t xml:space="preserve">docs/CHIP_DESIGN.md</w:t>
        </w:r>
      </w:hyperlink>
      <w:r>
        <w:t xml:space="preserve"> §7. The table that matters for a reader is the one below: who may do what to whom.</w:t>
      </w: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2"/>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2"/>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2"/>
        </w:numPr>
        <w:spacing w:after="100" w:line="276" w:lineRule="auto"/>
      </w:pPr>
      <w:r>
        <w:t xml:space="preserve">It cannot emit an output without a device-provenance record, because the hash engine sits on the output path.</w:t>
      </w:r>
    </w:p>
    <w:p>
      <w:pPr>
        <w:pStyle w:val="ListParagraph"/>
        <w:numPr>
          <w:ilvl w:val="0"/>
          <w:numId w:val="2"/>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2"/>
        </w:numPr>
        <w:spacing w:after="100" w:line="276" w:lineRule="auto"/>
      </w:pPr>
      <w:r>
        <w:t xml:space="preserve">Any alarm it or its classifiers raise counts. No alarm it clears counts.</w:t>
      </w:r>
    </w:p>
    <w:p>
      <w:pPr>
        <w:pStyle w:val="ListParagraph"/>
        <w:numPr>
          <w:ilvl w:val="0"/>
          <w:numId w:val="2"/>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3"/>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3"/>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3"/>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3"/>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3"/>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3"/>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3"/>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request end to end</w:t>
      </w:r>
    </w:p>
    <w:p>
      <w:pPr>
        <w:pStyle w:val="ListParagraph"/>
        <w:numPr>
          <w:ilvl w:val="0"/>
          <w:numId w:val="4"/>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4"/>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4"/>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4"/>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4"/>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4"/>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4"/>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91"/>
        <w:gridCol w:w="1730"/>
        <w:gridCol w:w="2878"/>
        <w:gridCol w:w="2561"/>
      </w:tblGrid>
      <w:tr>
        <w:trPr>
          <w:cantSplit/>
          <w:tblHeader/>
        </w:trPr>
        <w:tc>
          <w:tcPr>
            <w:tcW w:type="dxa" w:w="219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8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56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batch window of responses</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Seventeen milliseconds per P-384 signature on an OTBN-class coprocessor (OpenTitan's published cycle count); one signature per 50 ms window over a Merkle root of the window's records; the engine runs beside the GPU</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 at most 67 ms if a response waits for its record</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The shape to notice: everything that happens per token costs nothing extra, everything that happens per action costs microseconds, and the only slow rows are the ones that are slow on purpose.</w:t>
      </w:r>
    </w:p>
    <w:p>
      <w:pPr>
        <w:pStyle w:val="Heading1"/>
        <w:keepNext/>
      </w:pPr>
      <w:r>
        <w:t xml:space="preserve">The governor in the rack</w:t>
      </w:r>
    </w:p>
    <w:p>
      <w:pPr>
        <w:spacing w:after="160" w:line="276" w:lineRule="auto"/>
      </w:pPr>
      <w:r>
        <w:t xml:space="preserve">Everything above says what the controller does. This section says where it lives, and the answer changed while I was writing. My first draft put it in the GPU package. That is not realistic. NVIDIA has most of the market, CUDA is the software everyone writes to, and a design that needs NVIDIA to rebuild its GPU is a design that does not ship. So the question became: what is the most a chip can do if it is added to a rack built from NVIDIA GPUs, baseboards and switches exactly as they ship, and changes nothing in CUDA? The answer is a separate project, </w:t>
      </w:r>
      <w:hyperlink w:history="1" r:id="rIdiugogho_ucqd_j97tqk4t">
        <w:r>
          <w:rPr>
            <w:rStyle w:val="Hyperlink"/>
          </w:rPr>
          <w:t xml:space="preserve">safety-governor</w:t>
        </w:r>
      </w:hyperlink>
      <w:r>
        <w:t xml:space="preserve">, and here is the design in one picture.</w:t>
      </w:r>
    </w:p>
    <w:p>
      <w:pPr>
        <w:spacing w:after="160" w:line="276" w:lineRule="auto"/>
      </w:pPr>
      <w:r>
        <w:t xml:space="preserve">A modern AI rack is a stack of boards, and it matters whose each one is. The system board, the PCIe switch and the DPU are the server maker's. Many modern system boards have a slot for a management module (OCP's DC-SCM standard), the card that carries the baseboard management controller, and optionally a root of trust, on a connector that already brings out PCIe, I2C and the board's sideband signals. The PCIe switch has a management port. The DPU has an out-of-band port. The GPU baseboard, with the GPUs, the NVSwitch chips and its own management controller, is NVIDIA's, and the system board reaches it through the baseboard's connector: the management bus to the GPUs, and whichever reset and power signals the server maker wires. The governor goes on the server maker's side, in that slot, and reaches the baseboard through that connector. Soldering it onto the baseboard beside NVIDIA's controller would be the shortest wiring; it is an ask to NVIDIA, not an assumption. In plain words: the security office rents the room next door that every building already has, and it asks the landlord for nothing except, later, a better door.</w:t>
      </w:r>
    </w:p>
    <w:p>
      <w:pPr>
        <w:spacing w:after="160" w:line="276" w:lineRule="auto"/>
      </w:pPr>
      <w:r>
        <w:rPr>
          <w:b/>
          <w:bCs/>
        </w:rPr>
        <w:t xml:space="preserve">One governor per GPU.</w:t>
      </w:r>
      <w:r>
        <w:t xml:space="preserve"> A governor instance for each GPU slot, with that slot's own identity record, its own budgets and its own halt rung. A lifeguard per pool, not one for the whole water park. Physically one chip serves the slots on a baseboard, with a lever channel and a management-bus channel per slot.</w:t>
      </w:r>
    </w:p>
    <w:p>
      <w:pPr>
        <w:spacing w:after="160" w:line="276" w:lineRule="auto"/>
      </w:pPr>
      <w:r>
        <w:rPr>
          <w:b/>
          <w:bCs/>
        </w:rPr>
        <w:t xml:space="preserve">Three levers that need nothing from NVIDIA's silicon.</w:t>
      </w:r>
      <w:r>
        <w:t xml:space="preserve"> NVIDIA GPUs have a hardware power-brake input that forces a clock slowdown at once and reversibly; on PCIe cards it is an optional pin on the edge connector that many boards do not wire, so the governor's carrier routes it, and where no hardware brake exists the fallback is the power cap over the management bus, which NVIDIA documents as surviving driver reloads and reboots. Every slot has a reset line that ends the job. Boards with per-slot power control have a power enable on the slot's hot-swap controller. The governor drives whichever of the three the board provides, records in the policy which ones exist, and they default to the safe state at power-on. On a server built from PCIe cards the slots are the server maker's to wire; on an HGX baseboard the per-slot signals are on NVIDIA's board, and the governor gets what the baseboard's connector brings out, the management bus above all, so there the brake and the power cap are what exists until NVIDIA routes the rest. A GPU whose firmware ignores every polite request over the management bus still stops, because the appliance does not get a vote on the circuit breaker. The functional model has a test for exactly that: a GPU that ignores software, braked, reset and cut.</w:t>
      </w:r>
    </w:p>
    <w:p>
      <w:pPr>
        <w:spacing w:after="160" w:line="276" w:lineRule="auto"/>
      </w:pPr>
      <w:r>
        <w:rPr>
          <w:b/>
          <w:bCs/>
        </w:rPr>
        <w:t xml:space="preserve">The switches are the doors.</w:t>
      </w:r>
      <w:r>
        <w:t xml:space="preserve"> Every byte that leaves a GPU in a rack passes a switch that is not inside the GPU. NVLink between GPUs passes the NVSwitch chips on the baseboard, and across trays it passes the switch trays. Traffic to the host, to storage and GPU-to-GPU over PCIe passes the PCIe switch. RDMA to other nodes passes the DPU. Each of those switches has a management interface: port enables, isolation settings and containment on the PCIe switch, flow rules on the DPU, and on the NVSwitch chips the partition tables that NVIDIA's Fabric Manager programs. The governor becomes the only writer on the ones the server maker controls, and holds the partition policy that Fabric Manager is asked to honour on the one NVIDIA controls. A port is open to a GPU on the job's roster, under the current edition of the rulebook, while the heartbeat is live, or it is closed. The governor does not stand in the corridor checking parcels. It holds the keys to the doors between the buildings, and the doors only open for people on the roll. What that gives you is link-level containment: no bytes to a stranger, nothing at all when the authority goes quiet, and "which GPUs may talk" becomes a policy decision the host cannot change. What it does not give you is inspection of individual transfers between two legitimate roster members. That is the residual, and the in-GPU checkers in the table above are what would close it.</w:t>
      </w:r>
    </w:p>
    <w:p>
      <w:pPr>
        <w:spacing w:after="160" w:line="276" w:lineRule="auto"/>
      </w:pPr>
      <w:r>
        <w:rPr>
          <w:b/>
          <w:bCs/>
        </w:rPr>
        <w:t xml:space="preserve">The halt loop.</w:t>
      </w:r>
      <w:r>
        <w:t xml:space="preserve"> A series current loop, the kind industrial safety circuits have used for a century, threaded through every governor in the rack. Each governor has a normally-closed switch in it and senses the current. Any governor that halts opens its switch. A broken wire, a pulled board or a dead governor reads as open. When the loop opens, every governor sees it within one sense period and brakes its GPU; the design target is a tenth of a millisecond, with one millisecond end to end across a rack, and both are numbers the Phase 2 bench has to measure, not results. It is the fire-alarm loop: pull any station and every bell rings, cut the wire and every bell rings too. A message can be dropped, delayed or filtered by anything between sender and receiver. A current loop has no software between a pull and a bell.</w:t>
      </w:r>
    </w:p>
    <w:p>
      <w:pPr>
        <w:spacing w:after="160" w:line="276" w:lineRule="auto"/>
      </w:pPr>
      <w:r>
        <w:rPr>
          <w:b/>
          <w:bCs/>
        </w:rPr>
        <w:t xml:space="preserve">The message fabric.</w:t>
      </w:r>
      <w:r>
        <w:t xml:space="preserve"> A private network between governors, on its own wires, for the things that need words: the roll call at the start of a job, the edition number of the rulebook, the authority's heartbeat, reservations against shared budgets, and each governor's log checkpoints. Every message is signed with the sender's chip key, numbered, and stamped with the rulebook edition. A note from someone not on the roll, an old note read out again, or a note under last year's rulebook goes in the bin. The building's intercom, separate from the Wi-Fi the tenants use.</w:t>
      </w:r>
    </w:p>
    <w:p>
      <w:pPr>
        <w:spacing w:after="160" w:line="276" w:lineRule="auto"/>
      </w:pPr>
      <w:r>
        <w:rPr>
          <w:b/>
          <w:bCs/>
        </w:rPr>
        <w:t xml:space="preserve">The roster.</w:t>
      </w:r>
      <w:r>
        <w:t xml:space="preserve"> Before a job starts, the governors of the GPUs in it verify each other's chips and each other's GPUs, and sign a roster. Roll call with ID badges before the bus leaves. Every later decision, which ports open, who may spend from a shared budget, which epoch is in force, is scoped to the roster. A chip with no valid certificate cannot produce a valid quote, is absent from the roster, and nothing it says afterwards is accepted.</w:t>
      </w:r>
    </w:p>
    <w:p>
      <w:pPr>
        <w:spacing w:after="160" w:line="276" w:lineRule="auto"/>
      </w:pPr>
      <w:r>
        <w:rPr>
          <w:b/>
          <w:bCs/>
        </w:rPr>
        <w:t xml:space="preserve">Rulebook editions, rack-wide.</w:t>
      </w:r>
      <w:r>
        <w:t xml:space="preserve"> A rule change that reaches some GPUs and not others is a hazard, so the edition moves in two steps: the new rulebook is handed out, every governor initials receipt, and only then does the authority say "from now." A governor that did not initial by the deadline is sent home, not left working from the old book. The same holds for the heartbeat: a segment of the rack cut off from the authority halts itself when its timer runs out, and nothing in that segment can forge the authority's signature to keep itself alive.</w:t>
      </w:r>
    </w:p>
    <w:p>
      <w:pPr>
        <w:spacing w:after="160" w:line="276" w:lineRule="auto"/>
      </w:pPr>
      <w:r>
        <w:rPr>
          <w:b/>
          <w:bCs/>
        </w:rPr>
        <w:t xml:space="preserve">What it costs.</w:t>
      </w:r>
      <w:r>
        <w:t xml:space="preserve"> The governor is never on a data path. It programs ports; it does not sit on them. Its work grows with boundary crossings and actions, never with tokens or with bandwidth. Three numbers describe the cost, because they answer three different questions. The firmware's time, which is the only governor work on the path of an action: for a reference workload of half a million tokens, a thousand responses and fifty actions, about twenty-four milliseconds against two hundred and fifty seconds of GPU time, a hundredth of a percent. The signing engine, which runs beside the GPU and only has to keep up: priced at the figure OpenTitan publishes for its OTBN coprocessor, seventeen milliseconds for a P-384 signature, it cannot sign every response one by one (a chip serving eight GPUs with short responses would need it nearly three times over), so the specification signs one Merkle root per fifty-millisecond window and the engine is busy a third of the time whatever the load. And latency: a runtime that insists on its receipt before releasing a response waits at most sixty-seven milliseconds. An earlier draft of this post priced the signature at one millisecond and claimed four tenths of a percent; the audit replaced the wish with the published figure, and the test suite now asserts the shortfall as well as the fix. A model, not a measurement; the measurement is Phase 2.</w:t>
      </w:r>
    </w:p>
    <w:p>
      <w:pPr>
        <w:spacing w:after="160" w:line="276" w:lineRule="auto"/>
      </w:pPr>
      <w:r>
        <w:rPr>
          <w:b/>
          <w:bCs/>
        </w:rPr>
        <w:t xml:space="preserve">What NVIDIA could add, all of it firmware and software.</w:t>
      </w:r>
      <w:r>
        <w:t xml:space="preserve"> A model-manifest digest in the GPU's attestation report, so the fingerprint binds the model the GPU actually loaded. Fabric Manager honouring a governor-signed partition, so NVLink partitioning becomes something the host cannot alter. An out-of-band port disable on NVSwitch and a halt message to the GPU's management processor, for finer and faster levers than reset and power. An output-path hash the runtime cannot bypass, for device provenance of the bytes themselves. And, in a future generation, descriptor-level checks at the copy engines and the peer MMU, which is the in-package table above. The design works with none of these. Each one tightens it. The building code we would like the landlord to adopt; the security office opens for business either way.</w:t>
      </w:r>
    </w:p>
    <w:p>
      <w:pPr>
        <w:spacing w:after="160" w:line="276" w:lineRule="auto"/>
      </w:pPr>
      <w:r>
        <w:rPr>
          <w:b/>
          <w:bCs/>
        </w:rPr>
        <w:t xml:space="preserve">What exists.</w:t>
      </w:r>
      <w:r>
        <w:t xml:space="preserve"> The </w:t>
      </w:r>
      <w:hyperlink w:history="1" r:id="rIdelxw1vux1uouhnuqidqtz">
        <w:r>
          <w:rPr>
            <w:rStyle w:val="Hyperlink"/>
          </w:rPr>
          <w:t xml:space="preserve">safety-governor</w:t>
        </w:r>
      </w:hyperlink>
      <w:r>
        <w:t xml:space="preserve"> repository holds the design (objectives and numbered requirements, the architecture, the two wires, the interfaces to the GPU, the switches, the CPU and the DPU, a register-level specification, the threat model, the assumptions register, the verification plan), a functional model of a rack of GPUs with governors, one test file per hypothesis, the hard-core digital blocks in RTL with their invariants simulated and the Verilog generated, a LibreLane configuration to harden the core on an open 130 nm process for a shuttle run, the pinout, and the rack integration reference. One command runs all of it in under a minute. The sweep runs every hypothesis against three tiers of the design and prints a matrix; at the rack tier everything passes except the one residual the design names, and it is printed as a gap, not hidden.</w:t>
      </w:r>
    </w:p>
    <w:p>
      <w:pPr>
        <w:keepNext/>
        <w:spacing w:after="80" w:before="200"/>
        <w:jc w:val="center"/>
      </w:pPr>
      <w:r>
        <w:drawing>
          <wp:inline distT="0" distB="0" distL="0" distR="0">
            <wp:extent cx="5943600" cy="3800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38004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governor in the rack: one per GPU slot, the switches as doors, two wires through every tray</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in three phases, reordered after the review so that the contract at the point of action is proved first, because everything else is built to preserve it. Phase 1 is a tabletop model. Phase 2 is a real building with a real burglar. Phase 3 is asking the builder to put the badge readers in the doors. The same attack catalogue runs in every phase; a phase is finished when the sweep passes against that phase's hardware.</w:t>
      </w:r>
    </w:p>
    <w:p>
      <w:pPr>
        <w:keepNext/>
        <w:spacing w:after="80" w:before="200"/>
        <w:jc w:val="center"/>
      </w:pPr>
      <w:r>
        <w:drawing>
          <wp:inline distT="0" distB="0" distL="0" distR="0">
            <wp:extent cx="5943600" cy="2914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767"/>
        <w:gridCol w:w="6593"/>
      </w:tblGrid>
      <w:tr>
        <w:trPr>
          <w:cantSplit/>
          <w:tblHeader/>
        </w:trPr>
        <w:tc>
          <w:tcPr>
            <w:tcW w:type="dxa" w:w="276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65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w:t>
            </w:r>
            <w:hyperlink w:history="1" r:id="rIddkwsflwisxp7lzfvpnyk6">
              <w:r>
                <w:rPr>
                  <w:rStyle w:val="Hyperlink"/>
                  <w:rFonts w:ascii="Georgia" w:cs="Georgia" w:eastAsia="Georgia" w:hAnsi="Georgia"/>
                  <w:b/>
                  <w:bCs/>
                  <w:color w:val="2C2C2A"/>
                  <w:sz w:val="18"/>
                  <w:szCs w:val="18"/>
                </w:rPr>
                <w:t xml:space="preserve">the catalogue</w:t>
              </w:r>
            </w:hyperlink>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governor in a real rack.</w:t>
      </w:r>
      <w:r>
        <w:t xml:space="preserve"> The Safety Governor module on a node with real GPUs, a real PCIe switch and a real NVSwitch baseboard, the red team holding host root. The same catalogue over real wires: the levers against a GPU that ignores software, the switch ports opened and closed by the governor with traffic on them, the loop and the fabric across eight boards with cables pulled, an epoch change with a partition, a shared budget under forty concurrent requests. Plus workload attestation of the serving stack inside the CPU enclave, so the gate's "is the software verified" question covers the runtime that builds requests. What Phase 2 proves is non-bypassability at the link level with a real adversary. What it cannot prove is anything about transfers between two legitimate roster members, which is the residual the in-GPU checkers would close.</w:t>
      </w:r>
    </w:p>
    <w:p>
      <w:pPr>
        <w:spacing w:after="160" w:line="276" w:lineRule="auto"/>
      </w:pPr>
      <w:r>
        <w:rPr>
          <w:b/>
          <w:bCs/>
        </w:rPr>
        <w:t xml:space="preserve">Phase 3: the firmware and software asks, then the in-GPU checkers.</w:t>
      </w:r>
      <w:r>
        <w:t xml:space="preserve"> The manifest digest in the attestation report, Fabric Manager honouring a governor-signed partition, the NVSwitch port disable and the halt message, the output-path hash hook: each one re-run against the same catalogue as it lands. Then, in a future GPU generation, the descriptor-level checkers at the copy engines and the peer MMU, run first against an RTL simulation and then against first silicon. This is the ask of the chip vendor,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halt reaches every GPU in the rack within the bound, fail-safe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GPU keeps running after a halt or a loop break, or any governor clears alone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Only roster members speak on the fabric, and only once per message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rogue or replayed message is acted on; a forged heartbeat keeps a governor alive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Shared budgets cannot be overspent across governors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reservations exceed the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Partitions and epoch changes end in safe states, never stale ones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cut-off segment keeps running; an epoch applies unevenly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Production silicon has no debug path; tamper leaves nothing to steal</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debug access succeeds in production, or keys survive a tamper event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levers work without the GPU's cooperation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GPU that ignores software keeps running after the governor asserts its levers</w:t>
            </w:r>
          </w:p>
        </w:tc>
      </w:tr>
    </w:tbl>
    <w:p>
      <w:pPr>
        <w:spacing w:after="120"/>
      </w:pPr>
    </w:p>
    <w:p>
      <w:pPr>
        <w:spacing w:after="160" w:line="276" w:lineRule="auto"/>
      </w:pPr>
      <w:r>
        <w:t xml:space="preserve">The catalogue is the constant across all three phases. A phase is finished when the same sweep passes against that phase's artefact. H0 to H10 run today in this repository; H11 to H16, and H0 to H10 again against the governor model, run in </w:t>
      </w:r>
      <w:hyperlink w:history="1" r:id="rIdyia-xvdwkphzlh36jdlxz">
        <w:r>
          <w:rPr>
            <w:rStyle w:val="Hyperlink"/>
          </w:rPr>
          <w:t xml:space="preserve">safety-governor</w:t>
        </w:r>
      </w:hyperlink>
      <w:r>
        <w:t xml:space="preserve"> and are printed as a matrix across three tiers of the design.</w:t>
      </w:r>
    </w:p>
    <w:p>
      <w:pPr>
        <w:pStyle w:val="Heading1"/>
        <w:keepNext/>
      </w:pPr>
      <w:r>
        <w:t xml:space="preserve">Tightened claims</w:t>
      </w:r>
    </w:p>
    <w:p>
      <w:pPr>
        <w:spacing w:after="160" w:line="276" w:lineRule="auto"/>
      </w:pPr>
      <w:r>
        <w:t xml:space="preserve">My colleague's table of seven claims, each one narrowed, is adopted in full and lives in </w:t>
      </w:r>
      <w:hyperlink w:history="1" r:id="rIdqih7wm8ej5r7vs-phme8j">
        <w:r>
          <w:rPr>
            <w:rStyle w:val="Hyperlink"/>
            <w:rFonts w:ascii="Consolas" w:cs="Consolas" w:eastAsia="Consolas" w:hAnsi="Consolas"/>
            <w:sz w:val="20"/>
            <w:szCs w:val="20"/>
          </w:rPr>
          <w:t xml:space="preserve">docs/REVIEW-2026-10.md</w:t>
        </w:r>
      </w:hyperlink>
      <w:r>
        <w:t xml:space="preserve"> beside the review itself. The three that matter most: "no weights can leave" became "unauthorized transfers are blocked at every governed exit, and the permitted output channel has its own leakage budget"; "failure means an action not taken" became "each device defines its safe move, because for some devices stop is the hazard"; and "the signature is a hard watermark" became "the signature is a detachable device-provenance record, and workload provenance and execution integrity are separate claims with separate mechanisms."</w:t>
      </w:r>
    </w:p>
    <w:p>
      <w:pPr>
        <w:pStyle w:val="Heading1"/>
        <w:keepNext/>
      </w:pPr>
      <w:r>
        <w:t xml:space="preserve">What exists, what is missing, who builds it</w:t>
      </w:r>
    </w:p>
    <w:p>
      <w:pPr>
        <w:spacing w:after="160" w:line="276" w:lineRule="auto"/>
      </w:pPr>
      <w:r>
        <w:t xml:space="preserve">Read this as a shopping list. The second column is what you can download or buy today, the third is what still has to be built, and the last is who would build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717"/>
        <w:gridCol w:w="6169"/>
        <w:gridCol w:w="1237"/>
        <w:gridCol w:w="1237"/>
      </w:tblGrid>
      <w:tr>
        <w:trPr>
          <w:cantSplit/>
          <w:tblHeader/>
        </w:trPr>
        <w:tc>
          <w:tcPr>
            <w:tcW w:type="dxa" w:w="71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616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w:t>
            </w:r>
            <w:hyperlink w:history="1" r:id="rIdftfnvrfy9rad5akd0vckp">
              <w:r>
                <w:rPr>
                  <w:rStyle w:val="Hyperlink"/>
                  <w:rFonts w:ascii="Georgia" w:cs="Georgia" w:eastAsia="Georgia" w:hAnsi="Georgia"/>
                  <w:color w:val="2C2C2A"/>
                  <w:sz w:val="18"/>
                  <w:szCs w:val="18"/>
                </w:rPr>
                <w:t xml:space="preserve">OpenTitan</w:t>
              </w:r>
            </w:hyperlink>
            <w:r>
              <w:rPr>
                <w:rFonts w:ascii="Georgia" w:cs="Georgia" w:eastAsia="Georgia" w:hAnsi="Georgia"/>
                <w:color w:val="2C2C2A"/>
                <w:sz w:val="18"/>
                <w:szCs w:val="18"/>
              </w:rPr>
              <w:t xml:space="preserve">, </w:t>
            </w:r>
            <w:hyperlink w:history="1" r:id="rIdwnc4xwefjo7jf2vzgvbgd">
              <w:r>
                <w:rPr>
                  <w:rStyle w:val="Hyperlink"/>
                  <w:rFonts w:ascii="Georgia" w:cs="Georgia" w:eastAsia="Georgia" w:hAnsi="Georgia"/>
                  <w:color w:val="2C2C2A"/>
                  <w:sz w:val="18"/>
                  <w:szCs w:val="18"/>
                </w:rPr>
                <w:t xml:space="preserve">Pluton</w:t>
              </w:r>
            </w:hyperlink>
            <w:r>
              <w:rPr>
                <w:rFonts w:ascii="Georgia" w:cs="Georgia" w:eastAsia="Georgia" w:hAnsi="Georgia"/>
                <w:color w:val="2C2C2A"/>
                <w:sz w:val="18"/>
                <w:szCs w:val="18"/>
              </w:rPr>
              <w:t xml:space="preserve">, </w:t>
            </w:r>
            <w:hyperlink w:history="1" r:id="rIdkjbw0_ot861pcngu4scc-">
              <w:r>
                <w:rPr>
                  <w:rStyle w:val="Hyperlink"/>
                  <w:rFonts w:ascii="Georgia" w:cs="Georgia" w:eastAsia="Georgia" w:hAnsi="Georgia"/>
                  <w:color w:val="2C2C2A"/>
                  <w:sz w:val="18"/>
                  <w:szCs w:val="18"/>
                </w:rPr>
                <w:t xml:space="preserve">Titan</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6169"/>
            <w:tcMar>
              <w:top w:type="dxa" w:w="70"/>
              <w:left w:type="dxa" w:w="100"/>
              <w:bottom w:type="dxa" w:w="70"/>
              <w:right w:type="dxa" w:w="100"/>
            </w:tcMar>
          </w:tcPr>
          <w:p>
            <w:pPr>
              <w:spacing w:after="0" w:line="252" w:lineRule="auto"/>
            </w:pPr>
            <w:hyperlink w:history="1" r:id="rIdwboxvwxfzsy8vewrpmzv3">
              <w:r>
                <w:rPr>
                  <w:rStyle w:val="Hyperlink"/>
                  <w:rFonts w:ascii="Georgia" w:cs="Georgia" w:eastAsia="Georgia" w:hAnsi="Georgia"/>
                  <w:color w:val="2C2C2A"/>
                  <w:sz w:val="18"/>
                  <w:szCs w:val="18"/>
                </w:rPr>
                <w:t xml:space="preserve">Hopper and Blackwell confidential computing</w:t>
              </w:r>
            </w:hyperlink>
            <w:r>
              <w:rPr>
                <w:rFonts w:ascii="Georgia" w:cs="Georgia" w:eastAsia="Georgia" w:hAnsi="Georgia"/>
                <w:color w:val="2C2C2A"/>
                <w:sz w:val="18"/>
                <w:szCs w:val="18"/>
              </w:rPr>
              <w:t xml:space="preserve">, </w:t>
            </w:r>
            <w:hyperlink w:history="1" r:id="rIdi3c0yku8dzzc29srh-9_s">
              <w:r>
                <w:rPr>
                  <w:rStyle w:val="Hyperlink"/>
                  <w:rFonts w:ascii="Georgia" w:cs="Georgia" w:eastAsia="Georgia" w:hAnsi="Georgia"/>
                  <w:color w:val="2C2C2A"/>
                  <w:sz w:val="18"/>
                  <w:szCs w:val="18"/>
                </w:rPr>
                <w:t xml:space="preserve">attestation</w:t>
              </w:r>
            </w:hyperlink>
            <w:r>
              <w:rPr>
                <w:rFonts w:ascii="Georgia" w:cs="Georgia" w:eastAsia="Georgia" w:hAnsi="Georgia"/>
                <w:color w:val="2C2C2A"/>
                <w:sz w:val="18"/>
                <w:szCs w:val="18"/>
              </w:rPr>
              <w:t xml:space="preserve">, TEE-I/O on Blackwell; CPU TEEs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t>
            </w:r>
            <w:hyperlink w:history="1" r:id="rIdbuzunpr282q_t3eu0u-vd">
              <w:r>
                <w:rPr>
                  <w:rStyle w:val="Hyperlink"/>
                  <w:rFonts w:ascii="Georgia" w:cs="Georgia" w:eastAsia="Georgia" w:hAnsi="Georgia"/>
                  <w:color w:val="2C2C2A"/>
                  <w:sz w:val="18"/>
                  <w:szCs w:val="18"/>
                </w:rPr>
                <w:t xml:space="preserve">Safety Governor</w:t>
              </w:r>
            </w:hyperlink>
            <w:r>
              <w:rPr>
                <w:rFonts w:ascii="Georgia" w:cs="Georgia" w:eastAsia="Georgia" w:hAnsi="Georgia"/>
                <w:color w:val="2C2C2A"/>
                <w:sz w:val="18"/>
                <w:szCs w:val="18"/>
              </w:rPr>
              <w:t xml:space="preserve"> design: functional model, hypothesis suite, RTL for the hard-core blocks, a LibreLane flow for a sky130 shuttle, the rack integration reference; the closest shipping analogs are the GSP, Pluton, BlueField-4's own root, and the hardware-governance proposals from </w:t>
            </w:r>
            <w:hyperlink w:history="1" r:id="rIdlhtlu9fba0--nd09v4741">
              <w:r>
                <w:rPr>
                  <w:rStyle w:val="Hyperlink"/>
                  <w:rFonts w:ascii="Georgia" w:cs="Georgia" w:eastAsia="Georgia" w:hAnsi="Georgia"/>
                  <w:color w:val="2C2C2A"/>
                  <w:sz w:val="18"/>
                  <w:szCs w:val="18"/>
                </w:rPr>
                <w:t xml:space="preserve">CNAS</w:t>
              </w:r>
            </w:hyperlink>
            <w:r>
              <w:rPr>
                <w:rFonts w:ascii="Georgia" w:cs="Georgia" w:eastAsia="Georgia" w:hAnsi="Georgia"/>
                <w:color w:val="2C2C2A"/>
                <w:sz w:val="18"/>
                <w:szCs w:val="18"/>
              </w:rPr>
              <w:t xml:space="preserve"> and the </w:t>
            </w:r>
            <w:hyperlink w:history="1" r:id="rId3hdvwnf5b1vzit1um3q8o">
              <w:r>
                <w:rPr>
                  <w:rStyle w:val="Hyperlink"/>
                  <w:rFonts w:ascii="Georgia" w:cs="Georgia" w:eastAsia="Georgia" w:hAnsi="Georgia"/>
                  <w:color w:val="2C2C2A"/>
                  <w:sz w:val="18"/>
                  <w:szCs w:val="18"/>
                </w:rPr>
                <w:t xml:space="preserve">flexHEG</w:t>
              </w:r>
            </w:hyperlink>
            <w:r>
              <w:rPr>
                <w:rFonts w:ascii="Georgia" w:cs="Georgia" w:eastAsia="Georgia" w:hAnsi="Georgia"/>
                <w:color w:val="2C2C2A"/>
                <w:sz w:val="18"/>
                <w:szCs w:val="18"/>
              </w:rPr>
              <w:t xml:space="preserve"> group</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silicon: a shuttle prototype, then the product die, then the rack module; the firmware and software asks to NVIDIA; the in-GPU checkers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project with a board partner; NVIDIA for the asks; chip vendors with regulators for the checkers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6169"/>
            <w:tcMar>
              <w:top w:type="dxa" w:w="70"/>
              <w:left w:type="dxa" w:w="100"/>
              <w:bottom w:type="dxa" w:w="70"/>
              <w:right w:type="dxa" w:w="100"/>
            </w:tcMar>
          </w:tcPr>
          <w:p>
            <w:pPr>
              <w:spacing w:after="0" w:line="252" w:lineRule="auto"/>
            </w:pPr>
            <w:hyperlink w:history="1" r:id="rIdrl2w320g5n4mqdyu0zukt">
              <w:r>
                <w:rPr>
                  <w:rStyle w:val="Hyperlink"/>
                  <w:rFonts w:ascii="Georgia" w:cs="Georgia" w:eastAsia="Georgia" w:hAnsi="Georgia"/>
                  <w:color w:val="2C2C2A"/>
                  <w:sz w:val="18"/>
                  <w:szCs w:val="18"/>
                </w:rPr>
                <w:t xml:space="preserve">NVIDIA OpenShell</w:t>
              </w:r>
            </w:hyperlink>
            <w:r>
              <w:rPr>
                <w:rFonts w:ascii="Georgia" w:cs="Georgia" w:eastAsia="Georgia" w:hAnsi="Georgia"/>
                <w:color w:val="2C2C2A"/>
                <w:sz w:val="18"/>
                <w:szCs w:val="18"/>
              </w:rPr>
              <w:t xml:space="preserve"> (Landlock, egress proxy, credential substitution)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hyperlink w:history="1" r:id="rIdzjhsdpdfxuclwrwz9bxz0">
              <w:r>
                <w:rPr>
                  <w:rStyle w:val="Hyperlink"/>
                  <w:rFonts w:ascii="Consolas" w:cs="Consolas" w:eastAsia="Consolas" w:hAnsi="Consolas"/>
                  <w:color w:val="2C2C2A"/>
                  <w:sz w:val="16"/>
                  <w:szCs w:val="16"/>
                </w:rPr>
                <w:t xml:space="preserve">oasp.py</w:t>
              </w:r>
            </w:hyperlink>
            <w:r>
              <w:rPr>
                <w:rFonts w:ascii="Georgia" w:cs="Georgia" w:eastAsia="Georgia" w:hAnsi="Georgia"/>
                <w:color w:val="2C2C2A"/>
                <w:sz w:val="18"/>
                <w:szCs w:val="18"/>
              </w:rPr>
              <w:t xml:space="preserv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6169"/>
            <w:tcMar>
              <w:top w:type="dxa" w:w="70"/>
              <w:left w:type="dxa" w:w="100"/>
              <w:bottom w:type="dxa" w:w="70"/>
              <w:right w:type="dxa" w:w="100"/>
            </w:tcMar>
          </w:tcPr>
          <w:p>
            <w:pPr>
              <w:spacing w:after="0" w:line="252" w:lineRule="auto"/>
            </w:pPr>
            <w:hyperlink w:history="1" r:id="rIdifypiqqz1hop4pgc50vme">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5xmshw39ayrsgvgsa5aga">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rulebook, witnesses, budgets, holds, tickets, epochs, durable state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hyperlink w:history="1" r:id="rIdvsgtxl3l8zb9l1twsii-_">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as the functional reference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6169"/>
            <w:tcMar>
              <w:top w:type="dxa" w:w="70"/>
              <w:left w:type="dxa" w:w="100"/>
              <w:bottom w:type="dxa" w:w="70"/>
              <w:right w:type="dxa" w:w="100"/>
            </w:tcMar>
          </w:tcPr>
          <w:p>
            <w:pPr>
              <w:spacing w:after="0" w:line="252" w:lineRule="auto"/>
            </w:pPr>
            <w:hyperlink w:history="1" r:id="rIdhxtbawwal3uttkjdh8g2k">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two-person rules; approval workflows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6169"/>
            <w:tcMar>
              <w:top w:type="dxa" w:w="70"/>
              <w:left w:type="dxa" w:w="100"/>
              <w:bottom w:type="dxa" w:w="70"/>
              <w:right w:type="dxa" w:w="100"/>
            </w:tcMar>
          </w:tcPr>
          <w:p>
            <w:pPr>
              <w:spacing w:after="0" w:line="252" w:lineRule="auto"/>
            </w:pPr>
            <w:hyperlink w:history="1" r:id="rId8q3bkabgl_fp09ua1ufvr">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odj_9a1ywpe4f7esmi4ot">
              <w:r>
                <w:rPr>
                  <w:rStyle w:val="Hyperlink"/>
                  <w:rFonts w:ascii="Georgia" w:cs="Georgia" w:eastAsia="Georgia" w:hAnsi="Georgia"/>
                  <w:color w:val="2C2C2A"/>
                  <w:sz w:val="18"/>
                  <w:szCs w:val="18"/>
                </w:rPr>
                <w:t xml:space="preserve">NVIDIA Sentry</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6169"/>
            <w:tcMar>
              <w:top w:type="dxa" w:w="70"/>
              <w:left w:type="dxa" w:w="100"/>
              <w:bottom w:type="dxa" w:w="70"/>
              <w:right w:type="dxa" w:w="100"/>
            </w:tcMar>
          </w:tcPr>
          <w:p>
            <w:pPr>
              <w:spacing w:after="0" w:line="252" w:lineRule="auto"/>
            </w:pPr>
            <w:hyperlink w:history="1" r:id="rIdenkrdjaim0gb5awml2pkg">
              <w:r>
                <w:rPr>
                  <w:rStyle w:val="Hyperlink"/>
                  <w:rFonts w:ascii="Consolas" w:cs="Consolas" w:eastAsia="Consolas" w:hAnsi="Consolas"/>
                  <w:color w:val="2C2C2A"/>
                  <w:sz w:val="16"/>
                  <w:szCs w:val="16"/>
                </w:rPr>
                <w:t xml:space="preserve">Watermark</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spacing w:after="160" w:line="276" w:lineRule="auto"/>
      </w:pPr>
      <w:r>
        <w:t xml:space="preserve">Eight limits, stated so nobody reads more into the contract than it says.</w:t>
      </w:r>
    </w:p>
    <w:p>
      <w:pPr>
        <w:pStyle w:val="ListParagraph"/>
        <w:numPr>
          <w:ilvl w:val="0"/>
          <w:numId w:val="3"/>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3"/>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3"/>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3"/>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3"/>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3"/>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3"/>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3"/>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spacing w:after="160" w:line="276" w:lineRule="auto"/>
      </w:pPr>
      <w:r>
        <w:t xml:space="preserve">Security and verification:</w:t>
      </w:r>
    </w:p>
    <w:p>
      <w:pPr>
        <w:pStyle w:val="ListParagraph"/>
        <w:numPr>
          <w:ilvl w:val="0"/>
          <w:numId w:val="3"/>
        </w:numPr>
        <w:spacing w:after="100" w:line="276" w:lineRule="auto"/>
      </w:pPr>
      <w:r>
        <w:t xml:space="preserve">J. P. Anderson, </w:t>
      </w:r>
      <w:hyperlink w:history="1" r:id="rIdsgpcpaxojoo4iox9mj5k1">
        <w:r>
          <w:rPr>
            <w:rStyle w:val="Hyperlink"/>
            <w:i/>
            <w:iCs/>
          </w:rPr>
          <w:t xml:space="preserve">Computer Security Technology Planning Study</w:t>
        </w:r>
      </w:hyperlink>
      <w:r>
        <w:t xml:space="preserve">, US Air Force ESD-TR-73-51 (1972). The reference-monitor concept.</w:t>
      </w:r>
    </w:p>
    <w:p>
      <w:pPr>
        <w:pStyle w:val="ListParagraph"/>
        <w:numPr>
          <w:ilvl w:val="0"/>
          <w:numId w:val="3"/>
        </w:numPr>
        <w:spacing w:after="100" w:line="276" w:lineRule="auto"/>
      </w:pPr>
      <w:r>
        <w:t xml:space="preserve">The seL4 project, </w:t>
      </w:r>
      <w:hyperlink w:history="1" r:id="rIdn-sevcmxxblky_byonuay">
        <w:r>
          <w:rPr>
            <w:rStyle w:val="Hyperlink"/>
            <w:i/>
            <w:iCs/>
          </w:rPr>
          <w:t xml:space="preserve">Verification</w:t>
        </w:r>
      </w:hyperlink>
      <w:r>
        <w:t xml:space="preserve">: what the proofs cover and what they assume about hardware and DMA.</w:t>
      </w:r>
    </w:p>
    <w:p>
      <w:pPr>
        <w:pStyle w:val="ListParagraph"/>
        <w:numPr>
          <w:ilvl w:val="0"/>
          <w:numId w:val="3"/>
        </w:numPr>
        <w:spacing w:after="100" w:line="276" w:lineRule="auto"/>
      </w:pPr>
      <w:hyperlink w:history="1" r:id="rId02zx2arlgntmfi6nainzc">
        <w:r>
          <w:rPr>
            <w:rStyle w:val="Hyperlink"/>
          </w:rPr>
          <w:t xml:space="preserve">IEC 61508</w:t>
        </w:r>
      </w:hyperlink>
      <w:r>
        <w:t xml:space="preserve"> and </w:t>
      </w:r>
      <w:hyperlink w:history="1" r:id="rId0elf8a78nw4iaugom6085">
        <w:r>
          <w:rPr>
            <w:rStyle w:val="Hyperlink"/>
          </w:rPr>
          <w:t xml:space="preserve">IEC 61511</w:t>
        </w:r>
      </w:hyperlink>
      <w:r>
        <w:t xml:space="preserve">, functional safety of safety instrumented systems.</w:t>
      </w:r>
    </w:p>
    <w:p>
      <w:pPr>
        <w:pStyle w:val="ListParagraph"/>
        <w:numPr>
          <w:ilvl w:val="0"/>
          <w:numId w:val="3"/>
        </w:numPr>
        <w:spacing w:after="100" w:line="276" w:lineRule="auto"/>
      </w:pPr>
      <w:r>
        <w:t xml:space="preserve">D. Dalrymple et al., </w:t>
      </w:r>
      <w:hyperlink w:history="1" r:id="rId8_hgi8bzlkqigsxidhwli">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spacing w:after="160" w:line="276" w:lineRule="auto"/>
      </w:pPr>
      <w:r>
        <w:t xml:space="preserve">Hardware governance:</w:t>
      </w:r>
    </w:p>
    <w:p>
      <w:pPr>
        <w:pStyle w:val="ListParagraph"/>
        <w:numPr>
          <w:ilvl w:val="0"/>
          <w:numId w:val="3"/>
        </w:numPr>
        <w:spacing w:after="100" w:line="276" w:lineRule="auto"/>
      </w:pPr>
      <w:r>
        <w:t xml:space="preserve">O. Aarne, T. Fist and C. Withers, </w:t>
      </w:r>
      <w:hyperlink w:history="1" r:id="rIdrm6l27ndqxvgoxjqxmvcr">
        <w:r>
          <w:rPr>
            <w:rStyle w:val="Hyperlink"/>
            <w:i/>
            <w:iCs/>
          </w:rPr>
          <w:t xml:space="preserve">Secure, Governable Chips</w:t>
        </w:r>
      </w:hyperlink>
      <w:r>
        <w:t xml:space="preserve">, Center for a New American Security (2024).</w:t>
      </w:r>
    </w:p>
    <w:p>
      <w:pPr>
        <w:pStyle w:val="ListParagraph"/>
        <w:numPr>
          <w:ilvl w:val="0"/>
          <w:numId w:val="3"/>
        </w:numPr>
        <w:spacing w:after="100" w:line="276" w:lineRule="auto"/>
      </w:pPr>
      <w:r>
        <w:t xml:space="preserve">J. Petrie, O. Aarne, N. Ammann and D. Dalrymple, </w:t>
      </w:r>
      <w:hyperlink w:history="1" r:id="rIdwtriwrnbax0f4ete-yv-d">
        <w:r>
          <w:rPr>
            <w:rStyle w:val="Hyperlink"/>
            <w:i/>
            <w:iCs/>
          </w:rPr>
          <w:t xml:space="preserve">Flexible Hardware-Enabled Guarantees for AI Compute</w:t>
        </w:r>
      </w:hyperlink>
      <w:r>
        <w:t xml:space="preserve"> (2025).</w:t>
      </w:r>
    </w:p>
    <w:p>
      <w:pPr>
        <w:spacing w:after="160" w:line="276" w:lineRule="auto"/>
      </w:pPr>
      <w:r>
        <w:t xml:space="preserve">NVIDIA, the platform this design sits on:</w:t>
      </w:r>
    </w:p>
    <w:p>
      <w:pPr>
        <w:pStyle w:val="ListParagraph"/>
        <w:numPr>
          <w:ilvl w:val="0"/>
          <w:numId w:val="3"/>
        </w:numPr>
        <w:spacing w:after="100" w:line="276" w:lineRule="auto"/>
      </w:pPr>
      <w:hyperlink w:history="1" r:id="rIdkfi5-l_3w2syj7hl0kwzk">
        <w:r>
          <w:rPr>
            <w:rStyle w:val="Hyperlink"/>
            <w:i/>
            <w:iCs/>
          </w:rPr>
          <w:t xml:space="preserve">NVIDIA Secure AI with Blackwell and Hopper GPUs</w:t>
        </w:r>
      </w:hyperlink>
      <w:r>
        <w:t xml:space="preserve">, white paper WP-12554-001 v1.3 (August 2025). Bounce buffers, TDISP/IDE, NVLink encryption on Blackwell, the SPDM session.</w:t>
      </w:r>
    </w:p>
    <w:p>
      <w:pPr>
        <w:pStyle w:val="ListParagraph"/>
        <w:numPr>
          <w:ilvl w:val="0"/>
          <w:numId w:val="3"/>
        </w:numPr>
        <w:spacing w:after="100" w:line="276" w:lineRule="auto"/>
      </w:pPr>
      <w:hyperlink w:history="1" r:id="rIdrafpmsoe_5pcchobbmoks">
        <w:r>
          <w:rPr>
            <w:rStyle w:val="Hyperlink"/>
            <w:i/>
            <w:iCs/>
          </w:rPr>
          <w:t xml:space="preserve">Confidential Computing on NVIDIA H100 GPUs for Secure and Trustworthy AI</w:t>
        </w:r>
      </w:hyperlink>
      <w:r>
        <w:t xml:space="preserve">, NVIDIA Technical Blog.</w:t>
      </w:r>
    </w:p>
    <w:p>
      <w:pPr>
        <w:pStyle w:val="ListParagraph"/>
        <w:numPr>
          <w:ilvl w:val="0"/>
          <w:numId w:val="3"/>
        </w:numPr>
        <w:spacing w:after="100" w:line="276" w:lineRule="auto"/>
      </w:pPr>
      <w:hyperlink w:history="1" r:id="rIdby7w6zbfwbbctgb4tcuj4">
        <w:r>
          <w:rPr>
            <w:rStyle w:val="Hyperlink"/>
          </w:rPr>
          <w:t xml:space="preserve">NVIDIA Trusted Computing Solutions</w:t>
        </w:r>
      </w:hyperlink>
      <w:r>
        <w:t xml:space="preserve">, </w:t>
      </w:r>
      <w:hyperlink w:history="1" r:id="rIdppzzm_j8giwq-eomod0x_">
        <w:r>
          <w:rPr>
            <w:rStyle w:val="Hyperlink"/>
          </w:rPr>
          <w:t xml:space="preserve">NVIDIA Attestation</w:t>
        </w:r>
      </w:hyperlink>
      <w:r>
        <w:t xml:space="preserve"> and the </w:t>
      </w:r>
      <w:hyperlink w:history="1" r:id="rIdrlw24l0p7aj6787j8tje6">
        <w:r>
          <w:rPr>
            <w:rStyle w:val="Hyperlink"/>
          </w:rPr>
          <w:t xml:space="preserve">nvtrust</w:t>
        </w:r>
      </w:hyperlink>
      <w:r>
        <w:t xml:space="preserve"> repository: verification of measured GPU state against reference measurements.</w:t>
      </w:r>
    </w:p>
    <w:p>
      <w:pPr>
        <w:pStyle w:val="ListParagraph"/>
        <w:numPr>
          <w:ilvl w:val="0"/>
          <w:numId w:val="3"/>
        </w:numPr>
        <w:spacing w:after="100" w:line="276" w:lineRule="auto"/>
      </w:pPr>
      <w:hyperlink w:history="1" r:id="rIdcpmw7gnxq6rfhmqh_rqck">
        <w:r>
          <w:rPr>
            <w:rStyle w:val="Hyperlink"/>
          </w:rPr>
          <w:t xml:space="preserve">CUDA Programming Guide</w:t>
        </w:r>
      </w:hyperlink>
      <w:r>
        <w:t xml:space="preserve">, the section on peer-to-peer memory access: direct loads and stores into another GPU's memory.</w:t>
      </w:r>
    </w:p>
    <w:p>
      <w:pPr>
        <w:pStyle w:val="ListParagraph"/>
        <w:numPr>
          <w:ilvl w:val="0"/>
          <w:numId w:val="3"/>
        </w:numPr>
        <w:spacing w:after="100" w:line="276" w:lineRule="auto"/>
      </w:pPr>
      <w:hyperlink w:history="1" r:id="rIdb2ycfavqrbnjssilmz0nm">
        <w:r>
          <w:rPr>
            <w:rStyle w:val="Hyperlink"/>
          </w:rPr>
          <w:t xml:space="preserve">GPUDirect RDMA</w:t>
        </w:r>
      </w:hyperlink>
      <w:r>
        <w:t xml:space="preserve"> and </w:t>
      </w:r>
      <w:hyperlink w:history="1" r:id="rIdky_-erjyqrnjzdok8uc6h">
        <w:r>
          <w:rPr>
            <w:rStyle w:val="Hyperlink"/>
          </w:rPr>
          <w:t xml:space="preserve">GPUDirect Storage</w:t>
        </w:r>
      </w:hyperlink>
      <w:r>
        <w:t xml:space="preserve"> documentation.</w:t>
      </w:r>
    </w:p>
    <w:p>
      <w:pPr>
        <w:pStyle w:val="ListParagraph"/>
        <w:numPr>
          <w:ilvl w:val="0"/>
          <w:numId w:val="3"/>
        </w:numPr>
        <w:spacing w:after="100" w:line="276" w:lineRule="auto"/>
      </w:pPr>
      <w:hyperlink w:history="1" r:id="rIdx99tpg_wton-hc3c5n7bj">
        <w:r>
          <w:rPr>
            <w:rStyle w:val="Hyperlink"/>
            <w:i/>
            <w:iCs/>
          </w:rPr>
          <w:t xml:space="preserve">NVIDIA Launches Open Agent Safety Platform</w:t>
        </w:r>
      </w:hyperlink>
      <w:r>
        <w:t xml:space="preserve"> (September 28, 2026); </w:t>
      </w:r>
      <w:hyperlink w:history="1" r:id="rIdiknuegzwzheeqyzttkmep">
        <w:r>
          <w:rPr>
            <w:rStyle w:val="Hyperlink"/>
            <w:i/>
            <w:iCs/>
          </w:rPr>
          <w:t xml:space="preserve">NVIDIA Open Agent Safety Platform: A Reference for Continuous In-Silicon Agent Monitoring</w:t>
        </w:r>
      </w:hyperlink>
      <w:r>
        <w:t xml:space="preserve"> and </w:t>
      </w:r>
      <w:hyperlink w:history="1" r:id="rIdndxjakafk15y9rggsto3v">
        <w:r>
          <w:rPr>
            <w:rStyle w:val="Hyperlink"/>
            <w:i/>
            <w:iCs/>
          </w:rPr>
          <w:t xml:space="preserve">Add Runtime Controls to AI Agents with NVIDIA OpenShell</w:t>
        </w:r>
      </w:hyperlink>
      <w:r>
        <w:t xml:space="preserve">, NVIDIA Technical Blog; </w:t>
      </w:r>
      <w:hyperlink w:history="1" r:id="rIdwt1pyquqnkwfb1ilejpvy">
        <w:r>
          <w:rPr>
            <w:rStyle w:val="Hyperlink"/>
          </w:rPr>
          <w:t xml:space="preserve">OpenShell on GitHub</w:t>
        </w:r>
      </w:hyperlink>
      <w:r>
        <w:t xml:space="preserve"> and its </w:t>
      </w:r>
      <w:hyperlink w:history="1" r:id="rIdhlyqy8oceex0wn8bmy2jf">
        <w:r>
          <w:rPr>
            <w:rStyle w:val="Hyperlink"/>
          </w:rPr>
          <w:t xml:space="preserve">documentation</w:t>
        </w:r>
      </w:hyperlink>
      <w:r>
        <w:t xml:space="preserve">.</w:t>
      </w:r>
    </w:p>
    <w:p>
      <w:pPr>
        <w:pStyle w:val="ListParagraph"/>
        <w:numPr>
          <w:ilvl w:val="0"/>
          <w:numId w:val="3"/>
        </w:numPr>
        <w:spacing w:after="100" w:line="276" w:lineRule="auto"/>
      </w:pPr>
      <w:hyperlink w:history="1" r:id="rIdjfh6kouxkqgri5vmcwmdd">
        <w:r>
          <w:rPr>
            <w:rStyle w:val="Hyperlink"/>
          </w:rPr>
          <w:t xml:space="preserve">BlueField DPUs</w:t>
        </w:r>
      </w:hyperlink>
      <w:r>
        <w:t xml:space="preserve"> and the </w:t>
      </w:r>
      <w:hyperlink w:history="1" r:id="rIdcnt0qw5wfqcwkeopb1uwf">
        <w:r>
          <w:rPr>
            <w:rStyle w:val="Hyperlink"/>
          </w:rPr>
          <w:t xml:space="preserve">DOCA</w:t>
        </w:r>
      </w:hyperlink>
      <w:r>
        <w:t xml:space="preserve"> framework; the </w:t>
      </w:r>
      <w:hyperlink w:history="1" r:id="rIdrrwgnjs7vc0ih3cyhyu2j">
        <w:r>
          <w:rPr>
            <w:rStyle w:val="Hyperlink"/>
          </w:rPr>
          <w:t xml:space="preserve">Blackwell architecture technical overview</w:t>
        </w:r>
      </w:hyperlink>
      <w:r>
        <w:t xml:space="preserve">.</w:t>
      </w:r>
    </w:p>
    <w:p>
      <w:pPr>
        <w:spacing w:after="160" w:line="276" w:lineRule="auto"/>
      </w:pPr>
      <w:r>
        <w:t xml:space="preserve">Standards and building blocks:</w:t>
      </w:r>
    </w:p>
    <w:p>
      <w:pPr>
        <w:pStyle w:val="ListParagraph"/>
        <w:numPr>
          <w:ilvl w:val="0"/>
          <w:numId w:val="3"/>
        </w:numPr>
        <w:spacing w:after="100" w:line="276" w:lineRule="auto"/>
      </w:pPr>
      <w:hyperlink w:history="1" r:id="rIdb1wuoivufpmgd7v2g7kh6">
        <w:r>
          <w:rPr>
            <w:rStyle w:val="Hyperlink"/>
          </w:rPr>
          <w:t xml:space="preserve">RFC 9334</w:t>
        </w:r>
      </w:hyperlink>
      <w:r>
        <w:t xml:space="preserve">, Remote Attestation Procedures architecture; </w:t>
      </w:r>
      <w:hyperlink w:history="1" r:id="rId8_-ruargu3fpxgo6f5sgr">
        <w:r>
          <w:rPr>
            <w:rStyle w:val="Hyperlink"/>
          </w:rPr>
          <w:t xml:space="preserve">RFC 6962</w:t>
        </w:r>
      </w:hyperlink>
      <w:r>
        <w:t xml:space="preserve">, Certificate Transparency; the </w:t>
      </w:r>
      <w:hyperlink w:history="1" r:id="rIdp8lrl1xz5za8mlvtzyhf3">
        <w:r>
          <w:rPr>
            <w:rStyle w:val="Hyperlink"/>
          </w:rPr>
          <w:t xml:space="preserve">TCG DICE</w:t>
        </w:r>
      </w:hyperlink>
      <w:r>
        <w:t xml:space="preserve"> architectures; </w:t>
      </w:r>
      <w:hyperlink w:history="1" r:id="rIdxqjhph_2vlynfrncc-lqh">
        <w:r>
          <w:rPr>
            <w:rStyle w:val="Hyperlink"/>
          </w:rPr>
          <w:t xml:space="preserve">DMTF SPDM</w:t>
        </w:r>
      </w:hyperlink>
      <w:r>
        <w:t xml:space="preserve">.</w:t>
      </w:r>
    </w:p>
    <w:p>
      <w:pPr>
        <w:pStyle w:val="ListParagraph"/>
        <w:numPr>
          <w:ilvl w:val="0"/>
          <w:numId w:val="3"/>
        </w:numPr>
        <w:spacing w:after="100" w:line="276" w:lineRule="auto"/>
      </w:pPr>
      <w:hyperlink w:history="1" r:id="rIdq5ipqav8ppkjorva7gkkc">
        <w:r>
          <w:rPr>
            <w:rStyle w:val="Hyperlink"/>
          </w:rPr>
          <w:t xml:space="preserve">TDISP and IDE for PCIe and CXL</w:t>
        </w:r>
      </w:hyperlink>
      <w:r>
        <w:t xml:space="preserve">, a readable explainer of the PCI-SIG TEE-I/O protocols.</w:t>
      </w:r>
    </w:p>
    <w:p>
      <w:pPr>
        <w:pStyle w:val="ListParagraph"/>
        <w:numPr>
          <w:ilvl w:val="0"/>
          <w:numId w:val="3"/>
        </w:numPr>
        <w:spacing w:after="100" w:line="276" w:lineRule="auto"/>
      </w:pPr>
      <w:hyperlink w:history="1" r:id="rIdadkzx3cb1pvxxyh1y_wxt">
        <w:r>
          <w:rPr>
            <w:rStyle w:val="Hyperlink"/>
          </w:rPr>
          <w:t xml:space="preserve">Landlock</w:t>
        </w:r>
      </w:hyperlink>
      <w:r>
        <w:t xml:space="preserve">, the Linux kernel's unprivileged access control, which OpenShell uses for its file-path allowlist.</w:t>
      </w:r>
    </w:p>
    <w:p>
      <w:pPr>
        <w:pStyle w:val="ListParagraph"/>
        <w:numPr>
          <w:ilvl w:val="0"/>
          <w:numId w:val="3"/>
        </w:numPr>
        <w:spacing w:after="100" w:line="276" w:lineRule="auto"/>
      </w:pPr>
      <w:r>
        <w:t xml:space="preserve">Roots of trust in the wild: </w:t>
      </w:r>
      <w:hyperlink w:history="1" r:id="rIdmvpr7gdquyr5s9qsnla5t">
        <w:r>
          <w:rPr>
            <w:rStyle w:val="Hyperlink"/>
          </w:rPr>
          <w:t xml:space="preserve">OpenTitan</w:t>
        </w:r>
      </w:hyperlink>
      <w:r>
        <w:t xml:space="preserve">, </w:t>
      </w:r>
      <w:hyperlink w:history="1" r:id="rId5r9yjtbharsvkl6hdf_jp">
        <w:r>
          <w:rPr>
            <w:rStyle w:val="Hyperlink"/>
          </w:rPr>
          <w:t xml:space="preserve">Microsoft Pluton</w:t>
        </w:r>
      </w:hyperlink>
      <w:r>
        <w:t xml:space="preserve">, </w:t>
      </w:r>
      <w:hyperlink w:history="1" r:id="rIdvriyczbadc8rhkr4rtu6q">
        <w:r>
          <w:rPr>
            <w:rStyle w:val="Hyperlink"/>
          </w:rPr>
          <w:t xml:space="preserve">Google Titan</w:t>
        </w:r>
      </w:hyperlink>
      <w:r>
        <w:t xml:space="preserve">.</w:t>
      </w:r>
    </w:p>
    <w:p>
      <w:pPr>
        <w:spacing w:after="160" w:line="276" w:lineRule="auto"/>
      </w:pPr>
      <w:r>
        <w:t xml:space="preserve">This repository:</w:t>
      </w:r>
    </w:p>
    <w:p>
      <w:pPr>
        <w:pStyle w:val="ListParagraph"/>
        <w:numPr>
          <w:ilvl w:val="0"/>
          <w:numId w:val="3"/>
        </w:numPr>
        <w:spacing w:after="100" w:line="276" w:lineRule="auto"/>
      </w:pPr>
      <w:hyperlink w:history="1" r:id="rIdmncel5qn2kvxt0ufpvz_d">
        <w:r>
          <w:rPr>
            <w:rStyle w:val="Hyperlink"/>
            <w:rFonts w:ascii="Consolas" w:cs="Consolas" w:eastAsia="Consolas" w:hAnsi="Consolas"/>
            <w:sz w:val="20"/>
            <w:szCs w:val="20"/>
          </w:rPr>
          <w:t xml:space="preserve">docs/CHIP_DESIGN.md</w:t>
        </w:r>
      </w:hyperlink>
      <w:r>
        <w:t xml:space="preserve">, the design as a specification; </w:t>
      </w:r>
      <w:hyperlink w:history="1" r:id="rIdoukbqstiugcyi7hlctfwy">
        <w:r>
          <w:rPr>
            <w:rStyle w:val="Hyperlink"/>
            <w:rFonts w:ascii="Consolas" w:cs="Consolas" w:eastAsia="Consolas" w:hAnsi="Consolas"/>
            <w:sz w:val="20"/>
            <w:szCs w:val="20"/>
          </w:rPr>
          <w:t xml:space="preserve">docs/PROTOTYPING.md</w:t>
        </w:r>
      </w:hyperlink>
      <w:r>
        <w:t xml:space="preserve">, the experiment program; </w:t>
      </w:r>
      <w:hyperlink w:history="1" r:id="rId6u8hfopsh1kmwgqqc-ikv">
        <w:r>
          <w:rPr>
            <w:rStyle w:val="Hyperlink"/>
            <w:rFonts w:ascii="Consolas" w:cs="Consolas" w:eastAsia="Consolas" w:hAnsi="Consolas"/>
            <w:sz w:val="20"/>
            <w:szCs w:val="20"/>
          </w:rPr>
          <w:t xml:space="preserve">docs/REVIEW-2026-10.md</w:t>
        </w:r>
      </w:hyperlink>
      <w:r>
        <w:t xml:space="preserve">, the review and what changed.</w:t>
      </w:r>
    </w:p>
    <w:p>
      <w:pPr>
        <w:pStyle w:val="ListParagraph"/>
        <w:numPr>
          <w:ilvl w:val="0"/>
          <w:numId w:val="3"/>
        </w:numPr>
        <w:spacing w:after="100" w:line="276" w:lineRule="auto"/>
      </w:pPr>
      <w:hyperlink w:history="1" r:id="rIdtyx1uq1-gqgr8trhdoscj">
        <w:r>
          <w:rPr>
            <w:rStyle w:val="Hyperlink"/>
          </w:rPr>
          <w:t xml:space="preserve">Safety Governor</w:t>
        </w:r>
      </w:hyperlink>
      <w:r>
        <w:t xml:space="preserve">: the design, the functional model, the hypothesis suite H0 to H16, the RTL, the LibreLane flow, the rack integration reference, and a plain-English walkthrough of the whole design with figures. </w:t>
      </w:r>
      <w:hyperlink w:history="1" r:id="rId_6hw4fyszmoiwy8dzs9as">
        <w:r>
          <w:rPr>
            <w:rStyle w:val="Hyperlink"/>
          </w:rPr>
          <w:t xml:space="preserve">OpenTitan</w:t>
        </w:r>
      </w:hyperlink>
      <w:r>
        <w:t xml:space="preserve">, the open silicon root of trust the governor is built on.</w:t>
      </w:r>
    </w:p>
    <w:p>
      <w:pPr>
        <w:pStyle w:val="ListParagraph"/>
        <w:numPr>
          <w:ilvl w:val="0"/>
          <w:numId w:val="3"/>
        </w:numPr>
        <w:spacing w:after="100" w:line="276" w:lineRule="auto"/>
      </w:pPr>
      <w:r>
        <w:t xml:space="preserve">The companion lanes: </w:t>
      </w:r>
      <w:hyperlink w:history="1" r:id="rId1cjvvfswm2k7yp8id31ex">
        <w:r>
          <w:rPr>
            <w:rStyle w:val="Hyperlink"/>
            <w:rFonts w:ascii="Consolas" w:cs="Consolas" w:eastAsia="Consolas" w:hAnsi="Consolas"/>
            <w:sz w:val="20"/>
            <w:szCs w:val="20"/>
          </w:rPr>
          <w:t xml:space="preserve">autonomic-graph-regulation</w:t>
        </w:r>
      </w:hyperlink>
      <w:r>
        <w:t xml:space="preserve"> (observers) and </w:t>
      </w:r>
      <w:hyperlink w:history="1" r:id="rIdkhbqqliucvgfxzbnibjms">
        <w:r>
          <w:rPr>
            <w:rStyle w:val="Hyperlink"/>
            <w:rFonts w:ascii="Consolas" w:cs="Consolas" w:eastAsia="Consolas" w:hAnsi="Consolas"/>
            <w:sz w:val="20"/>
            <w:szCs w:val="20"/>
          </w:rPr>
          <w:t xml:space="preserve">Watermark</w:t>
        </w:r>
      </w:hyperlink>
      <w:r>
        <w:t xml:space="preserve"> (provenance).</w:t>
      </w:r>
    </w:p>
    <w:p>
      <w:pPr>
        <w:pStyle w:val="ListParagraph"/>
        <w:numPr>
          <w:ilvl w:val="0"/>
          <w:numId w:val="3"/>
        </w:numPr>
        <w:spacing w:after="100" w:line="276" w:lineRule="auto"/>
      </w:pPr>
      <w:hyperlink w:history="1" r:id="rIdingis6-v6t98tgnbasphr">
        <w:r>
          <w:rPr>
            <w:rStyle w:val="Hyperlink"/>
          </w:rPr>
          <w:t xml:space="preserve">Part 1</w:t>
        </w:r>
      </w:hyperlink>
      <w:r>
        <w:t xml:space="preserve"> and </w:t>
      </w:r>
      <w:hyperlink w:history="1" r:id="rIdbtblnfymid2t1_adixbtp">
        <w:r>
          <w:rPr>
            <w:rStyle w:val="Hyperlink"/>
          </w:rPr>
          <w:t xml:space="preserve">Part 2</w:t>
        </w:r>
      </w:hyperlink>
      <w:r>
        <w:t xml:space="preserve"> of this series, and </w:t>
      </w:r>
      <w:hyperlink w:history="1" r:id="rId-6ty1jiuzxuiku7ybtm3c">
        <w:r>
          <w:rPr>
            <w:rStyle w:val="Hyperlink"/>
          </w:rPr>
          <w:t xml:space="preserve">the first post</w:t>
        </w:r>
      </w:hyperlink>
      <w:r>
        <w:t xml:space="preserve">, which laid out the layer model.</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0" w:before="0" w:line="252" w:lineRule="auto"/>
        <w:ind w:left="240" w:right="240"/>
      </w:pPr>
      <w:r>
        <w:rPr>
          <w:rFonts w:ascii="Consolas" w:cs="Consolas" w:eastAsia="Consolas" w:hAnsi="Consolas"/>
          <w:color w:val="2C2C2A"/>
          <w:sz w:val="18"/>
          <w:szCs w:val="18"/>
        </w:rPr>
        <w:t xml:space="preserve">cd hardware-and-silicon &amp;&amp; ./run.sh    # the contract: 51 tests, 75 attacks, 12 baselines, under a minute</w:t>
      </w:r>
    </w:p>
    <w:p>
      <w:pPr>
        <w:shd w:fill="F3F2EE" w:color="auto" w:val="clear"/>
        <w:spacing w:after="0" w:before="0" w:line="252" w:lineRule="auto"/>
        <w:ind w:left="240" w:right="240"/>
      </w:pPr>
      <w:r>
        <w:rPr>
          <w:rFonts w:ascii="Consolas" w:cs="Consolas" w:eastAsia="Consolas" w:hAnsi="Consolas"/>
          <w:color w:val="2C2C2A"/>
          <w:sz w:val="18"/>
          <w:szCs w:val="18"/>
        </w:rPr>
        <w:t xml:space="preserve"> </w:t>
      </w:r>
    </w:p>
    <w:p>
      <w:pPr>
        <w:shd w:fill="F3F2EE" w:color="auto" w:val="clear"/>
        <w:spacing w:after="0" w:before="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./run.sh          # the governor: 119 tests, 15 RTL simulations, the Verilog, the matrix,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4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1y1qil75ntwdcwulhvb5" Type="http://schemas.openxmlformats.org/officeDocument/2006/relationships/hyperlink" Target="https://github.com/YobieBenjamin/hardware-and-silicon/blob/main/blog/04-the-chip-that-says-no-3-the-silicon-design.md" TargetMode="External"/><Relationship Id="rIdsue2p-sdog52qknavldlj" Type="http://schemas.openxmlformats.org/officeDocument/2006/relationships/hyperlink" Target="https://trustedcomputinggroup.org/work-groups/dice-architectures/" TargetMode="External"/><Relationship Id="rIdccobbspuv79zfyas7h-8m" Type="http://schemas.openxmlformats.org/officeDocument/2006/relationships/hyperlink" Target="https://github.com/YobieBenjamin/hardware-and-silicon/blob/main/hardware_ref/root.py" TargetMode="External"/><Relationship Id="rIdvu3imiijf5cii0o_dbzsj" Type="http://schemas.openxmlformats.org/officeDocument/2006/relationships/hyperlink" Target="https://docs.nvidia.com/nvtrust/index.html" TargetMode="External"/><Relationship Id="rId-p-cgmrvmu-wubj4bhxsj" Type="http://schemas.openxmlformats.org/officeDocument/2006/relationships/hyperlink" Target="https://docs.nvidia.com/attestation/index.html" TargetMode="External"/><Relationship Id="rIdm0v-pf-4ox8f1ltoutvdt" Type="http://schemas.openxmlformats.org/officeDocument/2006/relationships/hyperlink" Target="https://docs.nvidia.com/nvidia-secure-ai-with-blackwell-and-hopper-gpus-whitepaper.pdf" TargetMode="External"/><Relationship Id="rIdc61csmd4dlbthgnqzyr4z" Type="http://schemas.openxmlformats.org/officeDocument/2006/relationships/hyperlink" Target="https://developer.nvidia.com/blog/confidential-computing-on-h100-gpus-for-secure-and-trustworthy-ai/" TargetMode="External"/><Relationship Id="rId1qwwbubyoaes00li_r6-9" Type="http://schemas.openxmlformats.org/officeDocument/2006/relationships/hyperlink" Target="https://www.dmtf.org/standards/spdm" TargetMode="External"/><Relationship Id="rIdwnlisywi9xxkhsyk_ahsq" Type="http://schemas.openxmlformats.org/officeDocument/2006/relationships/hyperlink" Target="https://sel4.systems/Verification/" TargetMode="External"/><Relationship Id="rIdohe13rzzxzaofudgcii8f" Type="http://schemas.openxmlformats.org/officeDocument/2006/relationships/hyperlink" Target="https://www.synopsys.com/articles/tee-device-interface-secure-protocol.html" TargetMode="External"/><Relationship Id="rIdw4sbwwasdonyypwaakj_a" Type="http://schemas.openxmlformats.org/officeDocument/2006/relationships/hyperlink" Target="https://www.nvidia.com/en-us/networking/products/data-processing-unit/" TargetMode="External"/><Relationship Id="rId4r69pd2vpvzbxbusnnoq6" Type="http://schemas.openxmlformats.org/officeDocument/2006/relationships/hyperlink" Target="https://developer.nvidia.com/networking/doca" TargetMode="External"/><Relationship Id="rIdrx0xxpvoor0rvfdt9ztww" Type="http://schemas.openxmlformats.org/officeDocument/2006/relationships/hyperlink" Target="https://docs.nvidia.com/gpudirect-storage/" TargetMode="External"/><Relationship Id="rIdk1bqyqbxm0-gs31ejsmbn" Type="http://schemas.openxmlformats.org/officeDocument/2006/relationships/hyperlink" Target="https://github.com/NVIDIA/OpenShell" TargetMode="External"/><Relationship Id="rIdoocnghbf770vpgyf_tg4f" Type="http://schemas.openxmlformats.org/officeDocument/2006/relationships/hyperlink" Target="https://docs.kernel.org/userspace-api/landlock.html" TargetMode="External"/><Relationship Id="rIdtljkpwi6rdbg5ejmvvwco" Type="http://schemas.openxmlformats.org/officeDocument/2006/relationships/hyperlink" Target="https://docs.nvidia.com/openshell/about/overview" TargetMode="External"/><Relationship Id="rId_dkwgys2e9mfiaunj1m-f" Type="http://schemas.openxmlformats.org/officeDocument/2006/relationships/hyperlink" Target="https://github.com/YobieBenjamin/hardware-and-silicon/blob/main/hardware_ref/oasp.py" TargetMode="External"/><Relationship Id="rIdjolvcdariak2kffzrjvt7" Type="http://schemas.openxmlformats.org/officeDocument/2006/relationships/hyperlink" Target="https://github.com/YobieBenjamin/hardware-and-silicon/blob/main/docs/CHIP_DESIGN.md" TargetMode="External"/><Relationship Id="rIdiugogho_ucqd_j97tqk4t" Type="http://schemas.openxmlformats.org/officeDocument/2006/relationships/hyperlink" Target="https://github.com/YobieBenjamin/safety-governor" TargetMode="External"/><Relationship Id="rIdelxw1vux1uouhnuqidqtz" Type="http://schemas.openxmlformats.org/officeDocument/2006/relationships/hyperlink" Target="https://github.com/YobieBenjamin/safety-governor" TargetMode="External"/><Relationship Id="rIddkwsflwisxp7lzfvpnyk6" Type="http://schemas.openxmlformats.org/officeDocument/2006/relationships/hyperlink" Target="https://github.com/YobieBenjamin/hardware-and-silicon/blob/main/hardware_ref/attacks.py" TargetMode="External"/><Relationship Id="rIdyia-xvdwkphzlh36jdlxz" Type="http://schemas.openxmlformats.org/officeDocument/2006/relationships/hyperlink" Target="https://github.com/YobieBenjamin/safety-governor" TargetMode="External"/><Relationship Id="rIdqih7wm8ej5r7vs-phme8j" Type="http://schemas.openxmlformats.org/officeDocument/2006/relationships/hyperlink" Target="https://github.com/YobieBenjamin/hardware-and-silicon/blob/main/docs/REVIEW-2026-10.md" TargetMode="External"/><Relationship Id="rIdftfnvrfy9rad5akd0vckp" Type="http://schemas.openxmlformats.org/officeDocument/2006/relationships/hyperlink" Target="https://opentitan.org/" TargetMode="External"/><Relationship Id="rIdwnc4xwefjo7jf2vzgvbgd" Type="http://schemas.openxmlformats.org/officeDocument/2006/relationships/hyperlink" Target="https://learn.microsoft.com/en-us/windows/security/hardware-security/pluton/microsoft-pluton-security-processor" TargetMode="External"/><Relationship Id="rIdkjbw0_ot861pcngu4scc-" Type="http://schemas.openxmlformats.org/officeDocument/2006/relationships/hyperlink" Target="https://cloud.google.com/blog/products/identity-security/titan-in-depth-security-in-plaintext" TargetMode="External"/><Relationship Id="rIdwboxvwxfzsy8vewrpmzv3" Type="http://schemas.openxmlformats.org/officeDocument/2006/relationships/hyperlink" Target="https://www.nvidia.com/en-us/data-center/solutions/confidential-computing/" TargetMode="External"/><Relationship Id="rIdi3c0yku8dzzc29srh-9_s" Type="http://schemas.openxmlformats.org/officeDocument/2006/relationships/hyperlink" Target="https://github.com/NVIDIA/nvtrust" TargetMode="External"/><Relationship Id="rIdbuzunpr282q_t3eu0u-vd" Type="http://schemas.openxmlformats.org/officeDocument/2006/relationships/hyperlink" Target="https://github.com/YobieBenjamin/safety-governor" TargetMode="External"/><Relationship Id="rIdlhtlu9fba0--nd09v4741" Type="http://schemas.openxmlformats.org/officeDocument/2006/relationships/hyperlink" Target="https://www.cnas.org/publications/reports/secure-governable-chips" TargetMode="External"/><Relationship Id="rId3hdvwnf5b1vzit1um3q8o" Type="http://schemas.openxmlformats.org/officeDocument/2006/relationships/hyperlink" Target="https://arxiv.org/abs/2506.15093" TargetMode="External"/><Relationship Id="rIdrl2w320g5n4mqdyu0zukt" Type="http://schemas.openxmlformats.org/officeDocument/2006/relationships/hyperlink" Target="https://github.com/NVIDIA/OpenShell" TargetMode="External"/><Relationship Id="rIdzjhsdpdfxuclwrwz9bxz0" Type="http://schemas.openxmlformats.org/officeDocument/2006/relationships/hyperlink" Target="https://github.com/YobieBenjamin/hardware-and-silicon/blob/main/hardware_ref/oasp.py" TargetMode="External"/><Relationship Id="rIdifypiqqz1hop4pgc50vme" Type="http://schemas.openxmlformats.org/officeDocument/2006/relationships/hyperlink" Target="https://github.com/YobieBenjamin/hardware-and-silicon/blob/main/hardware_ref/gate.py" TargetMode="External"/><Relationship Id="rId5xmshw39ayrsgvgsa5aga" Type="http://schemas.openxmlformats.org/officeDocument/2006/relationships/hyperlink" Target="https://github.com/YobieBenjamin/hardware-and-silicon/blob/main/hardware_ref/ledger.py" TargetMode="External"/><Relationship Id="rIdvsgtxl3l8zb9l1twsii-_" Type="http://schemas.openxmlformats.org/officeDocument/2006/relationships/hyperlink" Target="https://github.com/YobieBenjamin/hardware-and-silicon/blob/main/hardware_ref/endpoints.py" TargetMode="External"/><Relationship Id="rIdhxtbawwal3uttkjdh8g2k" Type="http://schemas.openxmlformats.org/officeDocument/2006/relationships/hyperlink" Target="https://github.com/YobieBenjamin/hardware-and-silicon/blob/main/hardware_ref/attest.py" TargetMode="External"/><Relationship Id="rId8q3bkabgl_fp09ua1ufvr" Type="http://schemas.openxmlformats.org/officeDocument/2006/relationships/hyperlink" Target="https://github.com/YobieBenjamin/autonomic-graph-regulation" TargetMode="External"/><Relationship Id="rIdodj_9a1ywpe4f7esmi4ot" Type="http://schemas.openxmlformats.org/officeDocument/2006/relationships/hyperlink" Target="https://nvidianews.nvidia.com/news/open-agent-safety-platform" TargetMode="External"/><Relationship Id="rIdenkrdjaim0gb5awml2pkg" Type="http://schemas.openxmlformats.org/officeDocument/2006/relationships/hyperlink" Target="https://github.com/YobieBenjamin/Watermark" TargetMode="External"/><Relationship Id="rIdsgpcpaxojoo4iox9mj5k1" Type="http://schemas.openxmlformats.org/officeDocument/2006/relationships/hyperlink" Target="https://csrc.nist.gov/files/pubs/conference/1998/10/08/proceedings-of-the-21st-nissc-1998/final/docs/early-cs-papers/ande72.pdf" TargetMode="External"/><Relationship Id="rIdn-sevcmxxblky_byonuay" Type="http://schemas.openxmlformats.org/officeDocument/2006/relationships/hyperlink" Target="https://sel4.systems/Verification/" TargetMode="External"/><Relationship Id="rId02zx2arlgntmfi6nainzc" Type="http://schemas.openxmlformats.org/officeDocument/2006/relationships/hyperlink" Target="https://webstore.iec.ch/en/publication/5515" TargetMode="External"/><Relationship Id="rId0elf8a78nw4iaugom6085" Type="http://schemas.openxmlformats.org/officeDocument/2006/relationships/hyperlink" Target="https://webstore.iec.ch/en/publication/5527" TargetMode="External"/><Relationship Id="rId8_hgi8bzlkqigsxidhwli" Type="http://schemas.openxmlformats.org/officeDocument/2006/relationships/hyperlink" Target="https://arxiv.org/abs/2405.06624" TargetMode="External"/><Relationship Id="rIdrm6l27ndqxvgoxjqxmvcr" Type="http://schemas.openxmlformats.org/officeDocument/2006/relationships/hyperlink" Target="https://www.cnas.org/publications/reports/secure-governable-chips" TargetMode="External"/><Relationship Id="rIdwtriwrnbax0f4ete-yv-d" Type="http://schemas.openxmlformats.org/officeDocument/2006/relationships/hyperlink" Target="https://arxiv.org/abs/2506.15093" TargetMode="External"/><Relationship Id="rIdkfi5-l_3w2syj7hl0kwzk" Type="http://schemas.openxmlformats.org/officeDocument/2006/relationships/hyperlink" Target="https://docs.nvidia.com/nvidia-secure-ai-with-blackwell-and-hopper-gpus-whitepaper.pdf" TargetMode="External"/><Relationship Id="rIdrafpmsoe_5pcchobbmoks" Type="http://schemas.openxmlformats.org/officeDocument/2006/relationships/hyperlink" Target="https://developer.nvidia.com/blog/confidential-computing-on-h100-gpus-for-secure-and-trustworthy-ai/" TargetMode="External"/><Relationship Id="rIdby7w6zbfwbbctgb4tcuj4" Type="http://schemas.openxmlformats.org/officeDocument/2006/relationships/hyperlink" Target="https://docs.nvidia.com/nvtrust/index.html" TargetMode="External"/><Relationship Id="rIdppzzm_j8giwq-eomod0x_" Type="http://schemas.openxmlformats.org/officeDocument/2006/relationships/hyperlink" Target="https://docs.nvidia.com/attestation/index.html" TargetMode="External"/><Relationship Id="rIdrlw24l0p7aj6787j8tje6" Type="http://schemas.openxmlformats.org/officeDocument/2006/relationships/hyperlink" Target="https://github.com/NVIDIA/nvtrust" TargetMode="External"/><Relationship Id="rIdcpmw7gnxq6rfhmqh_rqck" Type="http://schemas.openxmlformats.org/officeDocument/2006/relationships/hyperlink" Target="https://docs.nvidia.com/cuda/cuda-programming-guide/index.html" TargetMode="External"/><Relationship Id="rIdb2ycfavqrbnjssilmz0nm" Type="http://schemas.openxmlformats.org/officeDocument/2006/relationships/hyperlink" Target="https://docs.nvidia.com/cuda/gpudirect-rdma/" TargetMode="External"/><Relationship Id="rIdky_-erjyqrnjzdok8uc6h" Type="http://schemas.openxmlformats.org/officeDocument/2006/relationships/hyperlink" Target="https://docs.nvidia.com/gpudirect-storage/" TargetMode="External"/><Relationship Id="rIdx99tpg_wton-hc3c5n7bj" Type="http://schemas.openxmlformats.org/officeDocument/2006/relationships/hyperlink" Target="https://nvidianews.nvidia.com/news/open-agent-safety-platform" TargetMode="External"/><Relationship Id="rIdiknuegzwzheeqyzttkmep" Type="http://schemas.openxmlformats.org/officeDocument/2006/relationships/hyperlink" Target="https://developer.nvidia.com/blog/nvidia-open-agent-safety-platform-a-reference-for-continuous-in-silicon-agent-monitoring/" TargetMode="External"/><Relationship Id="rIdndxjakafk15y9rggsto3v" Type="http://schemas.openxmlformats.org/officeDocument/2006/relationships/hyperlink" Target="https://developer.nvidia.com/blog/add-runtime-controls-to-ai-agents-with-nvidia-openshell" TargetMode="External"/><Relationship Id="rIdwt1pyquqnkwfb1ilejpvy" Type="http://schemas.openxmlformats.org/officeDocument/2006/relationships/hyperlink" Target="https://github.com/NVIDIA/OpenShell" TargetMode="External"/><Relationship Id="rIdhlyqy8oceex0wn8bmy2jf" Type="http://schemas.openxmlformats.org/officeDocument/2006/relationships/hyperlink" Target="https://docs.nvidia.com/openshell/about/overview" TargetMode="External"/><Relationship Id="rIdjfh6kouxkqgri5vmcwmdd" Type="http://schemas.openxmlformats.org/officeDocument/2006/relationships/hyperlink" Target="https://www.nvidia.com/en-us/networking/products/data-processing-unit/" TargetMode="External"/><Relationship Id="rIdcnt0qw5wfqcwkeopb1uwf" Type="http://schemas.openxmlformats.org/officeDocument/2006/relationships/hyperlink" Target="https://developer.nvidia.com/networking/doca" TargetMode="External"/><Relationship Id="rIdrrwgnjs7vc0ih3cyhyu2j" Type="http://schemas.openxmlformats.org/officeDocument/2006/relationships/hyperlink" Target="https://resources.nvidia.com/en-us-blackwell-architecture" TargetMode="External"/><Relationship Id="rIdb1wuoivufpmgd7v2g7kh6" Type="http://schemas.openxmlformats.org/officeDocument/2006/relationships/hyperlink" Target="https://www.rfc-editor.org/info/rfc9334/" TargetMode="External"/><Relationship Id="rId8_-ruargu3fpxgo6f5sgr" Type="http://schemas.openxmlformats.org/officeDocument/2006/relationships/hyperlink" Target="https://www.rfc-editor.org/info/rfc6962/" TargetMode="External"/><Relationship Id="rIdp8lrl1xz5za8mlvtzyhf3" Type="http://schemas.openxmlformats.org/officeDocument/2006/relationships/hyperlink" Target="https://trustedcomputinggroup.org/work-groups/dice-architectures/" TargetMode="External"/><Relationship Id="rIdxqjhph_2vlynfrncc-lqh" Type="http://schemas.openxmlformats.org/officeDocument/2006/relationships/hyperlink" Target="https://www.dmtf.org/standards/spdm" TargetMode="External"/><Relationship Id="rIdq5ipqav8ppkjorva7gkkc" Type="http://schemas.openxmlformats.org/officeDocument/2006/relationships/hyperlink" Target="https://www.synopsys.com/articles/tee-device-interface-secure-protocol.html" TargetMode="External"/><Relationship Id="rIdadkzx3cb1pvxxyh1y_wxt" Type="http://schemas.openxmlformats.org/officeDocument/2006/relationships/hyperlink" Target="https://docs.kernel.org/userspace-api/landlock.html" TargetMode="External"/><Relationship Id="rIdmvpr7gdquyr5s9qsnla5t" Type="http://schemas.openxmlformats.org/officeDocument/2006/relationships/hyperlink" Target="https://opentitan.org/" TargetMode="External"/><Relationship Id="rId5r9yjtbharsvkl6hdf_jp" Type="http://schemas.openxmlformats.org/officeDocument/2006/relationships/hyperlink" Target="https://learn.microsoft.com/en-us/windows/security/hardware-security/pluton/microsoft-pluton-security-processor" TargetMode="External"/><Relationship Id="rIdvriyczbadc8rhkr4rtu6q" Type="http://schemas.openxmlformats.org/officeDocument/2006/relationships/hyperlink" Target="https://cloud.google.com/blog/products/identity-security/titan-in-depth-security-in-plaintext" TargetMode="External"/><Relationship Id="rIdmncel5qn2kvxt0ufpvz_d" Type="http://schemas.openxmlformats.org/officeDocument/2006/relationships/hyperlink" Target="https://github.com/YobieBenjamin/hardware-and-silicon/blob/main/docs/CHIP_DESIGN.md" TargetMode="External"/><Relationship Id="rIdoukbqstiugcyi7hlctfwy" Type="http://schemas.openxmlformats.org/officeDocument/2006/relationships/hyperlink" Target="https://github.com/YobieBenjamin/hardware-and-silicon/blob/main/docs/PROTOTYPING.md" TargetMode="External"/><Relationship Id="rId6u8hfopsh1kmwgqqc-ikv" Type="http://schemas.openxmlformats.org/officeDocument/2006/relationships/hyperlink" Target="https://github.com/YobieBenjamin/hardware-and-silicon/blob/main/docs/REVIEW-2026-10.md" TargetMode="External"/><Relationship Id="rIdtyx1uq1-gqgr8trhdoscj" Type="http://schemas.openxmlformats.org/officeDocument/2006/relationships/hyperlink" Target="https://github.com/YobieBenjamin/safety-governor" TargetMode="External"/><Relationship Id="rId_6hw4fyszmoiwy8dzs9as" Type="http://schemas.openxmlformats.org/officeDocument/2006/relationships/hyperlink" Target="https://opentitan.org/" TargetMode="External"/><Relationship Id="rId1cjvvfswm2k7yp8id31ex" Type="http://schemas.openxmlformats.org/officeDocument/2006/relationships/hyperlink" Target="https://github.com/YobieBenjamin/autonomic-graph-regulation" TargetMode="External"/><Relationship Id="rIdkhbqqliucvgfxzbnibjms" Type="http://schemas.openxmlformats.org/officeDocument/2006/relationships/hyperlink" Target="https://github.com/YobieBenjamin/Watermark" TargetMode="External"/><Relationship Id="rIdingis6-v6t98tgnbasphr" Type="http://schemas.openxmlformats.org/officeDocument/2006/relationships/hyperlink" Target="https://github.com/YobieBenjamin/hardware-and-silicon/blob/main/blog/02-the-chip-that-says-no-1-plain-english.md" TargetMode="External"/><Relationship Id="rIdbtblnfymid2t1_adixbtp" Type="http://schemas.openxmlformats.org/officeDocument/2006/relationships/hyperlink" Target="https://github.com/YobieBenjamin/hardware-and-silicon/blob/main/blog/03-the-chip-that-says-no-2-with-the-technical-detail.md" TargetMode="External"/><Relationship Id="rId-6ty1jiuzxuiku7ybtm3c" Type="http://schemas.openxmlformats.org/officeDocument/2006/relationships/hyperlink" Target="https://github.com/YobieBenjamin/hardware-and-silicon/blob/main/blog/01-a-multi-layer-approach-to-ai-safety.md" TargetMode="External"/><Relationship Id="rId91" Type="http://schemas.openxmlformats.org/officeDocument/2006/relationships/image" Target="media/6eadcf89bb46a227a60703073a5c8c67bfb06401.png"/><Relationship Id="rId92" Type="http://schemas.openxmlformats.org/officeDocument/2006/relationships/image" Target="media/5a9a9a5ab13127c7d0c609ba695444680a4363b2.png"/><Relationship Id="rId93" Type="http://schemas.openxmlformats.org/officeDocument/2006/relationships/image" Target="media/226a1b3010f9f448311af1dc8841e7f0aed30fc3.png"/><Relationship Id="rId94" Type="http://schemas.openxmlformats.org/officeDocument/2006/relationships/image" Target="media/788b447472ab4aec44fbd9eb4345872305e0bcba.png"/><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4 of 4</dc:title>
  <dc:creator>Yobie Benjamin</dc:creator>
  <cp:lastModifiedBy>Un-named</cp:lastModifiedBy>
  <cp:revision>1</cp:revision>
  <dcterms:created xsi:type="dcterms:W3CDTF">2026-10-13T20:23:06.607Z</dcterms:created>
  <dcterms:modified xsi:type="dcterms:W3CDTF">2026-10-13T20:23:06.607Z</dcterms:modified>
</cp:coreProperties>
</file>

<file path=docProps/custom.xml><?xml version="1.0" encoding="utf-8"?>
<Properties xmlns="http://schemas.openxmlformats.org/officeDocument/2006/custom-properties" xmlns:vt="http://schemas.openxmlformats.org/officeDocument/2006/docPropsVTypes"/>
</file>