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12, 2026 · Part 3 of 3: the silicon design</w:t>
      </w:r>
    </w:p>
    <w:p>
      <w:pPr>
        <w:pBdr>
          <w:left w:val="single" w:color="185FA5" w:sz="18" w:space="12"/>
        </w:pBdr>
        <w:spacing w:after="240" w:before="120" w:line="276" w:lineRule="auto"/>
        <w:ind w:left="360"/>
      </w:pPr>
      <w:hyperlink w:history="1" r:id="rIdwsdfldhio0ofwowgwqmba">
        <w:r>
          <w:rPr>
            <w:rStyle w:val="Hyperlink"/>
            <w:i/>
            <w:iCs/>
            <w:color w:val="2C2C2A"/>
            <w:sz w:val="23"/>
            <w:szCs w:val="23"/>
          </w:rPr>
          <w:t xml:space="preserve">Parts 1</w:t>
        </w:r>
      </w:hyperlink>
      <w:r>
        <w:rPr>
          <w:i/>
          <w:iCs/>
          <w:color w:val="2C2C2A"/>
          <w:sz w:val="23"/>
          <w:szCs w:val="23"/>
        </w:rPr>
        <w:t xml:space="preserve"> and </w:t>
      </w:r>
      <w:hyperlink w:history="1" r:id="rIdc0rj2c_cmai0c7n8koeuq">
        <w:r>
          <w:rPr>
            <w:rStyle w:val="Hyperlink"/>
            <w:i/>
            <w:iCs/>
            <w:color w:val="2C2C2A"/>
            <w:sz w:val="23"/>
            <w:szCs w:val="23"/>
          </w:rPr>
          <w:t xml:space="preserve">2</w:t>
        </w:r>
      </w:hyperlink>
      <w:r>
        <w:rPr>
          <w:i/>
          <w:iCs/>
          <w:color w:val="2C2C2A"/>
          <w:sz w:val="23"/>
          <w:szCs w:val="23"/>
        </w:rPr>
        <w:t xml:space="preserve"> made the argument. </w:t>
      </w:r>
      <w:hyperlink w:history="1" r:id="rId-6tyfepqvfh10jcbprq6i">
        <w:r>
          <w:rPr>
            <w:rStyle w:val="Hyperlink"/>
            <w:i/>
            <w:iCs/>
            <w:color w:val="2C2C2A"/>
            <w:sz w:val="23"/>
            <w:szCs w:val="23"/>
          </w:rPr>
          <w:t xml:space="preserve">The first post in this repository</w:t>
        </w:r>
      </w:hyperlink>
      <w:r>
        <w:rPr>
          <w:i/>
          <w:iCs/>
          <w:color w:val="2C2C2A"/>
          <w:sz w:val="23"/>
          <w:szCs w:val="23"/>
        </w:rPr>
        <w:t xml:space="preserve"> laid out the layer model and shipped the reference stack. This is the design that post promised: where each layer goes in silicon, the theory each piece rests on, how the pieces talk to each other and to the model, how they sit against the GPU, the CPU, memory and storage, and the experiments that would prove or disprove each claim. A chip designer went through my first draft and corrected it in seven places. His corrections are built into this one,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 Every product, paper and standard I name is linked where I name it, and the links were checked on the day of posting.</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897"/>
        <w:gridCol w:w="2147"/>
        <w:gridCol w:w="6316"/>
      </w:tblGrid>
      <w:tr>
        <w:trPr>
          <w:cantSplit/>
          <w:tblHeader/>
        </w:trPr>
        <w:tc>
          <w:tcPr>
            <w:tcW w:type="dxa" w:w="89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214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631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6316"/>
            <w:tcMar>
              <w:top w:type="dxa" w:w="70"/>
              <w:left w:type="dxa" w:w="100"/>
              <w:bottom w:type="dxa" w:w="70"/>
              <w:right w:type="dxa" w:w="100"/>
            </w:tcMar>
          </w:tcPr>
          <w:p>
            <w:pPr>
              <w:spacing w:after="0" w:line="252" w:lineRule="auto"/>
            </w:pPr>
            <w:hyperlink w:history="1" r:id="rIdoiek5f3pxgz47lhcc7igq">
              <w:r>
                <w:rPr>
                  <w:rStyle w:val="Hyperlink"/>
                  <w:rFonts w:ascii="Georgia" w:cs="Georgia" w:eastAsia="Georgia" w:hAnsi="Georgia"/>
                  <w:color w:val="2C2C2A"/>
                  <w:sz w:val="18"/>
                  <w:szCs w:val="18"/>
                </w:rPr>
                <w:t xml:space="preserve">this repo</w:t>
              </w:r>
            </w:hyperlink>
            <w:r>
              <w:rPr>
                <w:rFonts w:ascii="Georgia" w:cs="Georgia" w:eastAsia="Georgia" w:hAnsi="Georgia"/>
                <w:color w:val="2C2C2A"/>
                <w:sz w:val="18"/>
                <w:szCs w:val="18"/>
              </w:rPr>
              <w:t xml:space="preserve"> (</w:t>
            </w:r>
            <w:hyperlink w:history="1" r:id="rIdm_yh6nhr8kctphrxw9exl">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ykdtozvjlxjld8ggv17ja">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4kw67ervtdamgczbrhpaf">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w:t>
            </w:r>
            <w:hyperlink w:history="1" r:id="rId8ichy3c_h9honqafviljn">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w:t>
            </w:r>
            <w:hyperlink w:history="1" r:id="rIdmnmy9sqaqiwxnnu7udkvb">
              <w:r>
                <w:rPr>
                  <w:rStyle w:val="Hyperlink"/>
                  <w:rFonts w:ascii="Consolas" w:cs="Consolas" w:eastAsia="Consolas" w:hAnsi="Consolas"/>
                  <w:color w:val="2C2C2A"/>
                  <w:sz w:val="16"/>
                  <w:szCs w:val="16"/>
                </w:rPr>
                <w:t xml:space="preserve">audit.py</w:t>
              </w:r>
            </w:hyperlink>
            <w:r>
              <w:rPr>
                <w:rFonts w:ascii="Georgia" w:cs="Georgia" w:eastAsia="Georgia" w:hAnsi="Georgia"/>
                <w:color w:val="2C2C2A"/>
                <w:sz w:val="18"/>
                <w:szCs w:val="18"/>
              </w:rPr>
              <w:t xml:space="preserve">)</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6316"/>
            <w:tcMar>
              <w:top w:type="dxa" w:w="70"/>
              <w:left w:type="dxa" w:w="100"/>
              <w:bottom w:type="dxa" w:w="70"/>
              <w:right w:type="dxa" w:w="100"/>
            </w:tcMar>
          </w:tcPr>
          <w:p>
            <w:pPr>
              <w:spacing w:after="0" w:line="252" w:lineRule="auto"/>
            </w:pPr>
            <w:hyperlink w:history="1" r:id="rId2ngh8pba9b3hsinztvyuc">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dn8fvqzppnhewkptcbxyk">
              <w:r>
                <w:rPr>
                  <w:rStyle w:val="Hyperlink"/>
                  <w:rFonts w:ascii="Georgia" w:cs="Georgia" w:eastAsia="Georgia" w:hAnsi="Georgia"/>
                  <w:color w:val="2C2C2A"/>
                  <w:sz w:val="18"/>
                  <w:szCs w:val="18"/>
                </w:rPr>
                <w:t xml:space="preserve">NVIDIA Sentry</w:t>
              </w:r>
            </w:hyperlink>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6316"/>
            <w:tcMar>
              <w:top w:type="dxa" w:w="70"/>
              <w:left w:type="dxa" w:w="100"/>
              <w:bottom w:type="dxa" w:w="70"/>
              <w:right w:type="dxa" w:w="100"/>
            </w:tcMar>
          </w:tcPr>
          <w:p>
            <w:pPr>
              <w:spacing w:after="0" w:line="252" w:lineRule="auto"/>
            </w:pPr>
            <w:hyperlink w:history="1" r:id="rIdy20chkyyzoqu_xk1tcoer">
              <w:r>
                <w:rPr>
                  <w:rStyle w:val="Hyperlink"/>
                  <w:rFonts w:ascii="Consolas" w:cs="Consolas" w:eastAsia="Consolas" w:hAnsi="Consolas"/>
                  <w:color w:val="2C2C2A"/>
                  <w:sz w:val="16"/>
                  <w:szCs w:val="16"/>
                </w:rPr>
                <w:t xml:space="preserve">Watermark</w:t>
              </w:r>
            </w:hyperlink>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89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214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631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hyperlink w:history="1" r:id="rIdyyrks7ghj9pzvyqd8z6ak">
              <w:r>
                <w:rPr>
                  <w:rStyle w:val="Hyperlink"/>
                  <w:rFonts w:ascii="Consolas" w:cs="Consolas" w:eastAsia="Consolas" w:hAnsi="Consolas"/>
                  <w:color w:val="2C2C2A"/>
                  <w:sz w:val="16"/>
                  <w:szCs w:val="16"/>
                </w:rPr>
                <w:t xml:space="preserve">root.py</w:t>
              </w:r>
            </w:hyperlink>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457"/>
        <w:gridCol w:w="1682"/>
        <w:gridCol w:w="6221"/>
      </w:tblGrid>
      <w:tr>
        <w:trPr>
          <w:cantSplit/>
          <w:tblHeader/>
        </w:trPr>
        <w:tc>
          <w:tcPr>
            <w:tcW w:type="dxa" w:w="145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16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62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6221"/>
            <w:tcMar>
              <w:top w:type="dxa" w:w="70"/>
              <w:left w:type="dxa" w:w="100"/>
              <w:bottom w:type="dxa" w:w="70"/>
              <w:right w:type="dxa" w:w="100"/>
            </w:tcMar>
          </w:tcPr>
          <w:p>
            <w:pPr>
              <w:spacing w:after="0" w:line="252" w:lineRule="auto"/>
            </w:pPr>
            <w:hyperlink w:history="1" r:id="rIdikxi3brmcd9jx88nyf0tv">
              <w:r>
                <w:rPr>
                  <w:rStyle w:val="Hyperlink"/>
                  <w:rFonts w:ascii="Consolas" w:cs="Consolas" w:eastAsia="Consolas" w:hAnsi="Consolas"/>
                  <w:color w:val="2C2C2A"/>
                  <w:sz w:val="16"/>
                  <w:szCs w:val="16"/>
                </w:rPr>
                <w:t xml:space="preserve">endpoints.py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6221"/>
            <w:tcMar>
              <w:top w:type="dxa" w:w="70"/>
              <w:left w:type="dxa" w:w="100"/>
              <w:bottom w:type="dxa" w:w="70"/>
              <w:right w:type="dxa" w:w="100"/>
            </w:tcMar>
          </w:tcPr>
          <w:p>
            <w:pPr>
              <w:spacing w:after="0" w:line="252" w:lineRule="auto"/>
            </w:pPr>
            <w:hyperlink w:history="1" r:id="rIdqmmtjodieaqfl6fooyt8a">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w2ehpwiiq1anh-4xb2zh3">
              <w:r>
                <w:rPr>
                  <w:rStyle w:val="Hyperlink"/>
                  <w:rFonts w:ascii="Consolas" w:cs="Consolas" w:eastAsia="Consolas" w:hAnsi="Consolas"/>
                  <w:color w:val="2C2C2A"/>
                  <w:sz w:val="16"/>
                  <w:szCs w:val="16"/>
                </w:rPr>
                <w:t xml:space="preserve">ledger.py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6221"/>
            <w:tcMar>
              <w:top w:type="dxa" w:w="70"/>
              <w:left w:type="dxa" w:w="100"/>
              <w:bottom w:type="dxa" w:w="70"/>
              <w:right w:type="dxa" w:w="100"/>
            </w:tcMar>
          </w:tcPr>
          <w:p>
            <w:pPr>
              <w:spacing w:after="0" w:line="252" w:lineRule="auto"/>
            </w:pPr>
            <w:hyperlink w:history="1" r:id="rIdtj18619ypfrl6dxmzmd5z">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approvals in </w:t>
            </w:r>
            <w:hyperlink w:history="1" r:id="rId3lcmujnninld-j7s4brvv">
              <w:r>
                <w:rPr>
                  <w:rStyle w:val="Hyperlink"/>
                  <w:rFonts w:ascii="Consolas" w:cs="Consolas" w:eastAsia="Consolas" w:hAnsi="Consolas"/>
                  <w:color w:val="2C2C2A"/>
                  <w:sz w:val="16"/>
                  <w:szCs w:val="16"/>
                </w:rPr>
                <w:t xml:space="preserve">gate.py</w:t>
              </w:r>
            </w:hyperlink>
          </w:p>
        </w:tc>
      </w:tr>
      <w:tr>
        <w:trPr>
          <w:cantSplit/>
          <w:tblHeader w:val="false"/>
        </w:trPr>
        <w:tc>
          <w:tcPr>
            <w:tcW w:type="dxa" w:w="145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16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6221"/>
            <w:tcMar>
              <w:top w:type="dxa" w:w="70"/>
              <w:left w:type="dxa" w:w="100"/>
              <w:bottom w:type="dxa" w:w="70"/>
              <w:right w:type="dxa" w:w="100"/>
            </w:tcMar>
          </w:tcPr>
          <w:p>
            <w:pPr>
              <w:spacing w:after="0" w:line="252" w:lineRule="auto"/>
            </w:pPr>
            <w:hyperlink w:history="1" r:id="rId8iv2jwjbtw-w3njssqixu">
              <w:r>
                <w:rPr>
                  <w:rStyle w:val="Hyperlink"/>
                  <w:rFonts w:ascii="Consolas" w:cs="Consolas" w:eastAsia="Consolas" w:hAnsi="Consolas"/>
                  <w:color w:val="2C2C2A"/>
                  <w:sz w:val="16"/>
                  <w:szCs w:val="16"/>
                </w:rPr>
                <w:t xml:space="preserve">assertions.py</w:t>
              </w:r>
            </w:hyperlink>
            <w:r>
              <w:rPr>
                <w:rFonts w:ascii="Georgia" w:cs="Georgia" w:eastAsia="Georgia" w:hAnsi="Georgia"/>
                <w:color w:val="2C2C2A"/>
                <w:sz w:val="18"/>
                <w:szCs w:val="18"/>
              </w:rPr>
              <w:t xml:space="preserve">, </w:t>
            </w:r>
            <w:hyperlink w:history="1" r:id="rIdubr0ke7smil3ha1d9come">
              <w:r>
                <w:rPr>
                  <w:rStyle w:val="Hyperlink"/>
                  <w:rFonts w:ascii="Consolas" w:cs="Consolas" w:eastAsia="Consolas" w:hAnsi="Consolas"/>
                  <w:color w:val="2C2C2A"/>
                  <w:sz w:val="16"/>
                  <w:szCs w:val="16"/>
                </w:rPr>
                <w:t xml:space="preserve">oasp.py</w:t>
              </w:r>
            </w:hyperlink>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06"/>
        <w:gridCol w:w="1427"/>
        <w:gridCol w:w="1427"/>
      </w:tblGrid>
      <w:tr>
        <w:trPr>
          <w:cantSplit/>
          <w:tblHeader/>
        </w:trPr>
        <w:tc>
          <w:tcPr>
            <w:tcW w:type="dxa" w:w="65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14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w:t>
            </w:r>
            <w:hyperlink w:history="1" r:id="rIdnq68osxb-pnamuo-mdnte">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with </w:t>
            </w:r>
            <w:hyperlink w:history="1" r:id="rIdqbvercgo0pkfalofjmdfh">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 beside </w:t>
            </w:r>
            <w:hyperlink w:history="1" r:id="rIdyd3lkpjxwayexqq7qkyl3">
              <w:r>
                <w:rPr>
                  <w:rStyle w:val="Hyperlink"/>
                  <w:rFonts w:ascii="Georgia" w:cs="Georgia" w:eastAsia="Georgia" w:hAnsi="Georgia"/>
                  <w:color w:val="2C2C2A"/>
                  <w:sz w:val="18"/>
                  <w:szCs w:val="18"/>
                </w:rPr>
                <w:t xml:space="preserve">NVIDIA Sentry</w:t>
              </w:r>
            </w:hyperlink>
            <w:r>
              <w:rPr>
                <w:rFonts w:ascii="Georgia" w:cs="Georgia" w:eastAsia="Georgia" w:hAnsi="Georgia"/>
                <w:color w:val="2C2C2A"/>
                <w:sz w:val="18"/>
                <w:szCs w:val="18"/>
              </w:rPr>
              <w:t xml:space="preserve">)</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6506"/>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14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659"/>
        <w:gridCol w:w="2168"/>
        <w:gridCol w:w="2243"/>
        <w:gridCol w:w="3676"/>
        <w:gridCol w:w="614"/>
      </w:tblGrid>
      <w:tr>
        <w:trPr>
          <w:cantSplit/>
          <w:tblHeader/>
        </w:trPr>
        <w:tc>
          <w:tcPr>
            <w:tcW w:type="dxa" w:w="65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2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367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61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w:t>
            </w:r>
            <w:hyperlink w:history="1" r:id="rIddwaiom-dr2g9qdz-dzl1i">
              <w:r>
                <w:rPr>
                  <w:rStyle w:val="Hyperlink"/>
                  <w:rFonts w:ascii="Georgia" w:cs="Georgia" w:eastAsia="Georgia" w:hAnsi="Georgia"/>
                  <w:color w:val="2C2C2A"/>
                  <w:sz w:val="18"/>
                  <w:szCs w:val="18"/>
                </w:rPr>
                <w:t xml:space="preserve">safetensors</w:t>
              </w:r>
            </w:hyperlink>
            <w:r>
              <w:rPr>
                <w:rFonts w:ascii="Georgia" w:cs="Georgia" w:eastAsia="Georgia" w:hAnsi="Georgia"/>
                <w:color w:val="2C2C2A"/>
                <w:sz w:val="18"/>
                <w:szCs w:val="18"/>
              </w:rPr>
              <w:t xml:space="preserve"> in bf16 or fp8; data as token shards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w:t>
            </w:r>
            <w:hyperlink w:history="1" r:id="rIdo3bln7ysvkbs2skb4ohii">
              <w:r>
                <w:rPr>
                  <w:rStyle w:val="Hyperlink"/>
                  <w:rFonts w:ascii="Georgia" w:cs="Georgia" w:eastAsia="Georgia" w:hAnsi="Georgia"/>
                  <w:color w:val="2C2C2A"/>
                  <w:sz w:val="18"/>
                  <w:szCs w:val="18"/>
                </w:rPr>
                <w:t xml:space="preserve">vLLM</w:t>
              </w:r>
            </w:hyperlink>
            <w:r>
              <w:rPr>
                <w:rFonts w:ascii="Georgia" w:cs="Georgia" w:eastAsia="Georgia" w:hAnsi="Georgia"/>
                <w:color w:val="2C2C2A"/>
                <w:sz w:val="18"/>
                <w:szCs w:val="18"/>
              </w:rPr>
              <w:t xml:space="preserve">, </w:t>
            </w:r>
            <w:hyperlink w:history="1" r:id="rIdqqabnl6kq5w2h5swpohs6">
              <w:r>
                <w:rPr>
                  <w:rStyle w:val="Hyperlink"/>
                  <w:rFonts w:ascii="Georgia" w:cs="Georgia" w:eastAsia="Georgia" w:hAnsi="Georgia"/>
                  <w:color w:val="2C2C2A"/>
                  <w:sz w:val="18"/>
                  <w:szCs w:val="18"/>
                </w:rPr>
                <w:t xml:space="preserve">TensorRT-LLM</w:t>
              </w:r>
            </w:hyperlink>
            <w:r>
              <w:rPr>
                <w:rFonts w:ascii="Georgia" w:cs="Georgia" w:eastAsia="Georgia" w:hAnsi="Georgia"/>
                <w:color w:val="2C2C2A"/>
                <w:sz w:val="18"/>
                <w:szCs w:val="18"/>
              </w:rPr>
              <w:t xml:space="preserve">, </w:t>
            </w:r>
            <w:hyperlink w:history="1" r:id="rIdku7aukifumlrs8qjqdeqo">
              <w:r>
                <w:rPr>
                  <w:rStyle w:val="Hyperlink"/>
                  <w:rFonts w:ascii="Georgia" w:cs="Georgia" w:eastAsia="Georgia" w:hAnsi="Georgia"/>
                  <w:color w:val="2C2C2A"/>
                  <w:sz w:val="18"/>
                  <w:szCs w:val="18"/>
                </w:rPr>
                <w:t xml:space="preserve">SGLang</w:t>
              </w:r>
            </w:hyperlink>
            <w:r>
              <w:rPr>
                <w:rFonts w:ascii="Georgia" w:cs="Georgia" w:eastAsia="Georgia" w:hAnsi="Georgia"/>
                <w:color w:val="2C2C2A"/>
                <w:sz w:val="18"/>
                <w:szCs w:val="18"/>
              </w:rPr>
              <w:t xml:space="preserve">), broker, </w:t>
            </w:r>
            <w:hyperlink w:history="1" r:id="rIdem3fltuy5fbpxxyfe9n8q">
              <w:r>
                <w:rPr>
                  <w:rStyle w:val="Hyperlink"/>
                  <w:rFonts w:ascii="Georgia" w:cs="Georgia" w:eastAsia="Georgia" w:hAnsi="Georgia"/>
                  <w:color w:val="2C2C2A"/>
                  <w:sz w:val="18"/>
                  <w:szCs w:val="18"/>
                </w:rPr>
                <w:t xml:space="preserve">OpenShell</w:t>
              </w:r>
            </w:hyperlink>
            <w:r>
              <w:rPr>
                <w:rFonts w:ascii="Georgia" w:cs="Georgia" w:eastAsia="Georgia" w:hAnsi="Georgia"/>
                <w:color w:val="2C2C2A"/>
                <w:sz w:val="18"/>
                <w:szCs w:val="18"/>
              </w:rPr>
              <w:t xml:space="preserve"> sandbox</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w:t>
            </w:r>
            <w:hyperlink w:history="1" r:id="rIdyhx2b0zjo1xm3ioqkram6">
              <w:r>
                <w:rPr>
                  <w:rStyle w:val="Hyperlink"/>
                  <w:rFonts w:ascii="Georgia" w:cs="Georgia" w:eastAsia="Georgia" w:hAnsi="Georgia"/>
                  <w:color w:val="2C2C2A"/>
                  <w:sz w:val="18"/>
                  <w:szCs w:val="18"/>
                </w:rPr>
                <w:t xml:space="preserve">AMD SEV-SNP</w:t>
              </w:r>
            </w:hyperlink>
            <w:r>
              <w:rPr>
                <w:rFonts w:ascii="Georgia" w:cs="Georgia" w:eastAsia="Georgia" w:hAnsi="Georgia"/>
                <w:color w:val="2C2C2A"/>
                <w:sz w:val="18"/>
                <w:szCs w:val="18"/>
              </w:rPr>
              <w:t xml:space="preserve">, </w:t>
            </w:r>
            <w:hyperlink w:history="1" r:id="rIdakwkgdkjuepo9fpft1eqd">
              <w:r>
                <w:rPr>
                  <w:rStyle w:val="Hyperlink"/>
                  <w:rFonts w:ascii="Georgia" w:cs="Georgia" w:eastAsia="Georgia" w:hAnsi="Georgia"/>
                  <w:color w:val="2C2C2A"/>
                  <w:sz w:val="18"/>
                  <w:szCs w:val="18"/>
                </w:rPr>
                <w:t xml:space="preserve">Arm CCA</w:t>
              </w:r>
            </w:hyperlink>
            <w:r>
              <w:rPr>
                <w:rFonts w:ascii="Georgia" w:cs="Georgia" w:eastAsia="Georgia" w:hAnsi="Georgia"/>
                <w:color w:val="2C2C2A"/>
                <w:sz w:val="18"/>
                <w:szCs w:val="18"/>
              </w:rPr>
              <w:t xml:space="preserv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w:t>
            </w:r>
            <w:hyperlink w:history="1" r:id="rIduqoatp3dz6ijvtntavojl">
              <w:r>
                <w:rPr>
                  <w:rStyle w:val="Hyperlink"/>
                  <w:rFonts w:ascii="Georgia" w:cs="Georgia" w:eastAsia="Georgia" w:hAnsi="Georgia"/>
                  <w:color w:val="2C2C2A"/>
                  <w:sz w:val="18"/>
                  <w:szCs w:val="18"/>
                </w:rPr>
                <w:t xml:space="preserve">RDMA</w:t>
              </w:r>
            </w:hyperlink>
            <w:r>
              <w:rPr>
                <w:rFonts w:ascii="Georgia" w:cs="Georgia" w:eastAsia="Georgia" w:hAnsi="Georgia"/>
                <w:color w:val="2C2C2A"/>
                <w:sz w:val="18"/>
                <w:szCs w:val="18"/>
              </w:rPr>
              <w:t xml:space="preserve"> across nodes; </w:t>
            </w:r>
            <w:hyperlink w:history="1" r:id="rId-gyip8d8wgdpf_nemqqja">
              <w:r>
                <w:rPr>
                  <w:rStyle w:val="Hyperlink"/>
                  <w:rFonts w:ascii="Georgia" w:cs="Georgia" w:eastAsia="Georgia" w:hAnsi="Georgia"/>
                  <w:color w:val="2C2C2A"/>
                  <w:sz w:val="18"/>
                  <w:szCs w:val="18"/>
                </w:rPr>
                <w:t xml:space="preserve">GPUDirect Storage</w:t>
              </w:r>
            </w:hyperlink>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65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2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367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61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w:t>
      </w:r>
      <w:hyperlink w:history="1" r:id="rIdhzn8wvpdnw79hsxs5kf-r">
        <w:r>
          <w:rPr>
            <w:rStyle w:val="Hyperlink"/>
          </w:rPr>
          <w:t xml:space="preserve">read and write a neighboring GPU's memory directly</w:t>
        </w:r>
      </w:hyperlink>
      <w:r>
        <w:t xml:space="preserve">, with ordinary loads and stores over NVLink, once peer access is turned on (the programming guide's section on peer-to-peer memory access).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hyperlink w:history="1" r:id="rIdb7k_rbfxjroesun7tfxxi">
        <w:r>
          <w:rPr>
            <w:rStyle w:val="Hyperlink"/>
            <w:rFonts w:ascii="Consolas" w:cs="Consolas" w:eastAsia="Consolas" w:hAnsi="Consolas"/>
            <w:sz w:val="20"/>
            <w:szCs w:val="20"/>
          </w:rPr>
          <w:t xml:space="preserve">gate.py</w:t>
        </w:r>
      </w:hyperlink>
      <w:r>
        <w:t xml:space="preserve">, </w:t>
      </w:r>
      <w:hyperlink w:history="1" r:id="rIdy-ry0aucy-ociqzzoiayg">
        <w:r>
          <w:rPr>
            <w:rStyle w:val="Hyperlink"/>
            <w:rFonts w:ascii="Consolas" w:cs="Consolas" w:eastAsia="Consolas" w:hAnsi="Consolas"/>
            <w:sz w:val="20"/>
            <w:szCs w:val="20"/>
          </w:rPr>
          <w:t xml:space="preserve">ledger.py</w:t>
        </w:r>
      </w:hyperlink>
      <w:r>
        <w:t xml:space="preserve"> and </w:t>
      </w:r>
      <w:hyperlink w:history="1" r:id="rIdph7xd3xq0vjaapwbmlacz">
        <w:r>
          <w:rPr>
            <w:rStyle w:val="Hyperlink"/>
            <w:rFonts w:ascii="Consolas" w:cs="Consolas" w:eastAsia="Consolas" w:hAnsi="Consolas"/>
            <w:sz w:val="20"/>
            <w:szCs w:val="20"/>
          </w:rPr>
          <w:t xml:space="preserve">endpoints.py</w:t>
        </w:r>
      </w:hyperlink>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hyperlink w:history="1" r:id="rIdbraigpye9ag-7gcadi61t">
        <w:r>
          <w:rPr>
            <w:rStyle w:val="Hyperlink"/>
            <w:rFonts w:ascii="Consolas" w:cs="Consolas" w:eastAsia="Consolas" w:hAnsi="Consolas"/>
            <w:sz w:val="20"/>
            <w:szCs w:val="20"/>
          </w:rPr>
          <w:t xml:space="preserve">gate.py</w:t>
        </w:r>
      </w:hyperlink>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w:t>
      </w:r>
      <w:hyperlink w:history="1" r:id="rId0oxkfcea9anlhd-eqjcwg">
        <w:r>
          <w:rPr>
            <w:rStyle w:val="Hyperlink"/>
          </w:rPr>
          <w:t xml:space="preserve">catalogue</w:t>
        </w:r>
      </w:hyperlink>
      <w:r>
        <w:t xml:space="preserv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hyperlink w:history="1" r:id="rIdpmbhaz8vwluy6_tlb6djy">
        <w:r>
          <w:rPr>
            <w:rStyle w:val="Hyperlink"/>
            <w:rFonts w:ascii="Consolas" w:cs="Consolas" w:eastAsia="Consolas" w:hAnsi="Consolas"/>
            <w:sz w:val="20"/>
            <w:szCs w:val="20"/>
          </w:rPr>
          <w:t xml:space="preserve">autonomic-graph-regulation</w:t>
        </w:r>
      </w:hyperlink>
      <w:r>
        <w:t xml:space="preserve"> repo's early-warning lane; </w:t>
      </w:r>
      <w:hyperlink w:history="1" r:id="rIdep5-ya1unztzn1exrskk9">
        <w:r>
          <w:rPr>
            <w:rStyle w:val="Hyperlink"/>
          </w:rPr>
          <w:t xml:space="preserve">NVIDIA Sentry</w:t>
        </w:r>
      </w:hyperlink>
      <w:r>
        <w:t xml:space="preserve"> on the DPU) and the provenance registry (the </w:t>
      </w:r>
      <w:hyperlink w:history="1" r:id="rIdrjjy1txedpo76neej6qg4">
        <w:r>
          <w:rPr>
            <w:rStyle w:val="Hyperlink"/>
            <w:rFonts w:ascii="Consolas" w:cs="Consolas" w:eastAsia="Consolas" w:hAnsi="Consolas"/>
            <w:sz w:val="20"/>
            <w:szCs w:val="20"/>
          </w:rPr>
          <w:t xml:space="preserve">Watermark</w:t>
        </w:r>
      </w:hyperlink>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w:t>
      </w:r>
      <w:hyperlink w:history="1" r:id="rIdoewmvwmnc4oprrny0zpcp">
        <w:r>
          <w:rPr>
            <w:rStyle w:val="Hyperlink"/>
          </w:rPr>
          <w:t xml:space="preserve">DICE</w:t>
        </w:r>
      </w:hyperlink>
      <w:r>
        <w:t xml:space="preserv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hyperlink w:history="1" r:id="rIds1iclpuj4fgpgox4ninpr">
        <w:r>
          <w:rPr>
            <w:rStyle w:val="Hyperlink"/>
            <w:rFonts w:ascii="Consolas" w:cs="Consolas" w:eastAsia="Consolas" w:hAnsi="Consolas"/>
            <w:sz w:val="20"/>
            <w:szCs w:val="20"/>
          </w:rPr>
          <w:t xml:space="preserve">root.py</w:t>
        </w:r>
      </w:hyperlink>
      <w:r>
        <w:t xml:space="preserve">) and binds the GPU's quote inside the CPU TEE's, which is the composite-attestation pattern of </w:t>
      </w:r>
      <w:hyperlink w:history="1" r:id="rIdqk9si28e34ktmvks-6jfh">
        <w:r>
          <w:rPr>
            <w:rStyle w:val="Hyperlink"/>
          </w:rPr>
          <w:t xml:space="preserve">NVIDIA confidential computing</w:t>
        </w:r>
      </w:hyperlink>
      <w:r>
        <w:t xml:space="preserve"> and its </w:t>
      </w:r>
      <w:hyperlink w:history="1" r:id="rIdol9nxpvvagrfig2_netzc">
        <w:r>
          <w:rPr>
            <w:rStyle w:val="Hyperlink"/>
          </w:rPr>
          <w:t xml:space="preserve">attestation service</w:t>
        </w:r>
      </w:hyperlink>
      <w:r>
        <w:t xml:space="preserve">.</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On Hopper that means software-encrypted bounce buffers, and NVLink between GPUs stays unencrypted; on Blackwell the NVLink path is encrypted too, and with a compatible CPU the GPU's TEE-I/O capability replaces the bounce buffers with TDISP/IDE link encryption (</w:t>
      </w:r>
      <w:hyperlink w:history="1" r:id="rId-w-ciw0bvn2k0wbxycg8q">
        <w:r>
          <w:rPr>
            <w:rStyle w:val="Hyperlink"/>
          </w:rPr>
          <w:t xml:space="preserve">NVIDIA's Secure AI white paper</w:t>
        </w:r>
      </w:hyperlink>
      <w:r>
        <w:t xml:space="preserve"> spells out both modes).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w:t>
      </w:r>
      <w:hyperlink w:history="1" r:id="rIdnl4koe4oxjb7t6csr_dk2">
        <w:r>
          <w:rPr>
            <w:rStyle w:val="Hyperlink"/>
          </w:rPr>
          <w:t xml:space="preserve">NVIDIA's H100 write-up</w:t>
        </w:r>
      </w:hyperlink>
      <w:r>
        <w:t xml:space="preserve"> is the plainest description). Kernels run unchanged inside the enclave. Copies between the enclaves take the encrypted path. The CPU TEE and the GPU TEE set up their session with an </w:t>
      </w:r>
      <w:hyperlink w:history="1" r:id="rIdicdbhoqmtw4xh7g4bc3ri">
        <w:r>
          <w:rPr>
            <w:rStyle w:val="Hyperlink"/>
          </w:rPr>
          <w:t xml:space="preserve">SPDM</w:t>
        </w:r>
      </w:hyperlink>
      <w:r>
        <w:t xml:space="preserve">-based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and it is the piece that does not exist. My first draft called it a governor and described it as one component that handled every transfer. The review's second point changed the architecture: the trusted part stays small, and the enforcement is spread out.</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w:t>
      </w:r>
      <w:hyperlink w:history="1" r:id="rIdr8dnp10cv13x3h5adn-ww">
        <w:r>
          <w:rPr>
            <w:rStyle w:val="Hyperlink"/>
          </w:rPr>
          <w:t xml:space="preserve">seL4</w:t>
        </w:r>
      </w:hyperlink>
      <w:r>
        <w:t xml:space="preserve">: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82"/>
        <w:gridCol w:w="3583"/>
        <w:gridCol w:w="893"/>
        <w:gridCol w:w="2702"/>
      </w:tblGrid>
      <w:tr>
        <w:trPr>
          <w:cantSplit/>
          <w:tblHeader/>
        </w:trPr>
        <w:tc>
          <w:tcPr>
            <w:tcW w:type="dxa" w:w="21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35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8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70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w:t>
            </w:r>
            <w:hyperlink w:history="1" r:id="rIdkqf4mim2s2dwvb9rbxekz">
              <w:r>
                <w:rPr>
                  <w:rStyle w:val="Hyperlink"/>
                  <w:rFonts w:ascii="Georgia" w:cs="Georgia" w:eastAsia="Georgia" w:hAnsi="Georgia"/>
                  <w:color w:val="2C2C2A"/>
                  <w:sz w:val="18"/>
                  <w:szCs w:val="18"/>
                </w:rPr>
                <w:t xml:space="preserve">TEE-I/O (TDISP and IDE)</w:t>
              </w:r>
            </w:hyperlink>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w:t>
            </w:r>
            <w:hyperlink w:history="1" r:id="rIdohrktcu5yg3xdknng4kwj">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filter tables</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w:t>
            </w:r>
            <w:hyperlink w:history="1" r:id="rIdeyknfq_hycuucbgx3zbqf">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-programmable hardware</w:t>
            </w:r>
          </w:p>
        </w:tc>
      </w:tr>
      <w:tr>
        <w:trPr>
          <w:cantSplit/>
          <w:tblHeader w:val="false"/>
        </w:trPr>
        <w:tc>
          <w:tcPr>
            <w:tcW w:type="dxa" w:w="2182"/>
            <w:tcMar>
              <w:top w:type="dxa" w:w="70"/>
              <w:left w:type="dxa" w:w="100"/>
              <w:bottom w:type="dxa" w:w="70"/>
              <w:right w:type="dxa" w:w="100"/>
            </w:tcMar>
          </w:tcPr>
          <w:p>
            <w:pPr>
              <w:spacing w:after="0" w:line="252" w:lineRule="auto"/>
            </w:pPr>
            <w:hyperlink w:history="1" r:id="rId08vlzycqyormee8aprhzh">
              <w:r>
                <w:rPr>
                  <w:rStyle w:val="Hyperlink"/>
                  <w:rFonts w:ascii="Georgia" w:cs="Georgia" w:eastAsia="Georgia" w:hAnsi="Georgia"/>
                  <w:color w:val="2C2C2A"/>
                  <w:sz w:val="18"/>
                  <w:szCs w:val="18"/>
                </w:rPr>
                <w:t xml:space="preserve">GPUDirect Storage</w:t>
              </w:r>
            </w:hyperlink>
            <w:r>
              <w:rPr>
                <w:rFonts w:ascii="Georgia" w:cs="Georgia" w:eastAsia="Georgia" w:hAnsi="Georgia"/>
                <w:color w:val="2C2C2A"/>
                <w:sz w:val="18"/>
                <w:szCs w:val="18"/>
              </w:rPr>
              <w:t xml:space="preserve"> (the delivery door)</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w:t>
      </w:r>
      <w:hyperlink w:history="1" r:id="rIdnsactu0ngyffassmnvsgq">
        <w:r>
          <w:rPr>
            <w:rStyle w:val="Hyperlink"/>
          </w:rPr>
          <w:t xml:space="preserve">OpenShell</w:t>
        </w:r>
      </w:hyperlink>
      <w:r>
        <w:t xml:space="preserve"> as shipped: each agent in its own container, a </w:t>
      </w:r>
      <w:hyperlink w:history="1" r:id="rIdmzcrbreicualstk0ntf0u">
        <w:r>
          <w:rPr>
            <w:rStyle w:val="Hyperlink"/>
          </w:rPr>
          <w:t xml:space="preserve">Landlock</w:t>
        </w:r>
      </w:hyperlink>
      <w:r>
        <w:t xml:space="preserve"> allowlist of file paths locked at creation, a network policy proxy, credentials substituted outside the agent so the agent never sees the real ones, and GPU device access as a line in the policy. It is the playpen. It bounds the process. Its limit is that it lives inside a kernel of tens of millions of lines, and </w:t>
      </w:r>
      <w:hyperlink w:history="1" r:id="rIdaroti--wmf63ar7aibzvi">
        <w:r>
          <w:rPr>
            <w:rStyle w:val="Hyperlink"/>
          </w:rPr>
          <w:t xml:space="preserve">its own documentation</w:t>
        </w:r>
      </w:hyperlink>
      <w:r>
        <w:t xml:space="preserve"> says the network policy is hot-reloadable at runtime. So the authority to set policy has to move down to the gate, where changing it takes the governance root. The reference already derives OpenShell's network policy from the signed rulebook (</w:t>
      </w:r>
      <w:hyperlink w:history="1" r:id="rIdbfq2cgsw3n_bvt4kpv_x2">
        <w:r>
          <w:rPr>
            <w:rStyle w:val="Hyperlink"/>
            <w:rFonts w:ascii="Consolas" w:cs="Consolas" w:eastAsia="Consolas" w:hAnsi="Consolas"/>
            <w:sz w:val="20"/>
            <w:szCs w:val="20"/>
          </w:rPr>
          <w:t xml:space="preserve">oasp.py</w:t>
        </w:r>
      </w:hyperlink>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68"/>
        <w:gridCol w:w="1310"/>
        <w:gridCol w:w="1520"/>
        <w:gridCol w:w="2455"/>
        <w:gridCol w:w="1907"/>
      </w:tblGrid>
      <w:tr>
        <w:trPr>
          <w:cantSplit/>
          <w:tblHeader/>
        </w:trPr>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Message</w:t>
            </w:r>
          </w:p>
        </w:tc>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From</w:t>
            </w:r>
          </w:p>
        </w:tc>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To</w:t>
            </w:r>
          </w:p>
        </w:tc>
        <w:tc>
          <w:tcPr>
            <w:tcW w:type="dxa" w:w="245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Carries</w:t>
            </w:r>
          </w:p>
        </w:tc>
        <w:tc>
          <w:tcPr>
            <w:tcW w:type="dxa" w:w="190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 and token (the ID card)</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roots; the verifier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 short-lived token naming the workload fingerprint</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hardware, firmware, model and policy are running</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(the hall pass)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Checker, peer, direction, byte budget, expiry, integrity tag</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for one class of transfer</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 (the signed receipt)</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Verifiers, 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identity, firmware, model fingerprint, policy epoch, prompt hash (as claimed), output hash, nonce, time, counters</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signed these bytes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(the form)</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Action, typed fields, attestation token, witness statements</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the model proposes, bound to a verified workload</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and provenance assertions (the witness statements)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Layers 3 and 2</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risk or status, expiry, signature</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witness spoke about this request</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action, field digest, fingerprint, rule, policy epoch, endpoint, reservation, expiry</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exact action passed every gate</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Commit (the confirmation call)</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reservation is spent; the action is about to happen</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and epoch (the new rulebook edition)</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 endpoints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version, expiry, k-of-n signatures; the epoch endpoints bind to</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quorum agreed to these rules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halt, throttle (the call from headquarters)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endpoints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window or command</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authority is still present, or wants a stop</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checkpoint (the ledger)</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Transparency log</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Merkle root, size, head, signature</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record has not been rewritten</w:t>
            </w:r>
          </w:p>
        </w:tc>
      </w:tr>
    </w:tbl>
    <w:p>
      <w:pPr>
        <w:spacing w:after="120"/>
      </w:pP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6"/>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6"/>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6"/>
        </w:numPr>
        <w:spacing w:after="100" w:line="276" w:lineRule="auto"/>
      </w:pPr>
      <w:r>
        <w:t xml:space="preserve">It cannot emit an output without a device-provenance record, because the hash engine sits on the output path.</w:t>
      </w:r>
    </w:p>
    <w:p>
      <w:pPr>
        <w:pStyle w:val="ListParagraph"/>
        <w:numPr>
          <w:ilvl w:val="0"/>
          <w:numId w:val="6"/>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6"/>
        </w:numPr>
        <w:spacing w:after="100" w:line="276" w:lineRule="auto"/>
      </w:pPr>
      <w:r>
        <w:t xml:space="preserve">Any alarm it or its classifiers raise counts. No alarm it clears counts.</w:t>
      </w:r>
    </w:p>
    <w:p>
      <w:pPr>
        <w:pStyle w:val="ListParagraph"/>
        <w:numPr>
          <w:ilvl w:val="0"/>
          <w:numId w:val="6"/>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4"/>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4"/>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4"/>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4"/>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4"/>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4"/>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4"/>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request end to end</w:t>
      </w:r>
    </w:p>
    <w:p>
      <w:pPr>
        <w:pStyle w:val="ListParagraph"/>
        <w:numPr>
          <w:ilvl w:val="0"/>
          <w:numId w:val="7"/>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7"/>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7"/>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7"/>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7"/>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7"/>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7"/>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The shape to notice: everything that happens per token costs nothing extra, everything that happens per action costs microseconds, and the only slow rows are the ones that are slow on purpose.</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in three phases, reordered after the review so that the contract at the point of action is proved first, because everything else is built to preserve it. Phase 1 is a tabletop model. Phase 2 is a real building with a real burglar. Phase 3 is asking the builder to put the badge readers in the doors. The same attack catalogue runs in every phase; a phase is finished when the sweep passes against that phase's hardware.</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767"/>
        <w:gridCol w:w="6593"/>
      </w:tblGrid>
      <w:tr>
        <w:trPr>
          <w:cantSplit/>
          <w:tblHeader/>
        </w:trPr>
        <w:tc>
          <w:tcPr>
            <w:tcW w:type="dxa" w:w="276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65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w:t>
            </w:r>
            <w:hyperlink w:history="1" r:id="rIddtokqsxmzxe7jbfddi_mu">
              <w:r>
                <w:rPr>
                  <w:rStyle w:val="Hyperlink"/>
                  <w:rFonts w:ascii="Georgia" w:cs="Georgia" w:eastAsia="Georgia" w:hAnsi="Georgia"/>
                  <w:b/>
                  <w:bCs/>
                  <w:color w:val="2C2C2A"/>
                  <w:sz w:val="18"/>
                  <w:szCs w:val="18"/>
                </w:rPr>
                <w:t xml:space="preserve">the catalogue</w:t>
              </w:r>
            </w:hyperlink>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controller on a DPU, and workload attestation.</w:t>
      </w:r>
      <w:r>
        <w:t xml:space="preserve"> Placement A: the Layer 4 block as a DOCA application on BlueField-4 beside Sentry, with its own root of trust and its own state, enforcing on every packet and storage request that crosses the node's path to the model. Plus workload attestation of the serving stack inside the CPU TEE, so the gate's "is the software verified" question covers the runtime that builds requests. The red team holds host root. The same catalogue runs over a real PCIe and Ethernet path. What Phase 2 proves is non-bypassability on the DPU's path. What it cannot prove is coverage of internal GPU and NVLink paths, which is the whole reason Phase 3 exists.</w:t>
      </w:r>
    </w:p>
    <w:p>
      <w:pPr>
        <w:spacing w:after="160" w:line="276" w:lineRule="auto"/>
      </w:pPr>
      <w:r>
        <w:rPr>
          <w:b/>
          <w:bCs/>
        </w:rPr>
        <w:t xml:space="preserve">Phase 3: vendor silicon.</w:t>
      </w:r>
      <w:r>
        <w:t xml:space="preserve"> Placement C: enforcement points inside the GPU (work-order checks on copy engines, roster-bound peer mappings, link keys, a storage-channel permission), a signing call in the driver, the model manifest and policy digest in the attestation report, and the same catalogue re-run against an RTL simulation. This is the ask of the chip vendors,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bl>
    <w:p>
      <w:pPr>
        <w:spacing w:after="120"/>
      </w:pPr>
    </w:p>
    <w:p>
      <w:pPr>
        <w:spacing w:after="160" w:line="276" w:lineRule="auto"/>
      </w:pPr>
      <w:r>
        <w:t xml:space="preserve">The catalogue is the constant across all three phases. A phase is finished when the same sweep passes against that phase's artefact.</w:t>
      </w:r>
    </w:p>
    <w:p>
      <w:pPr>
        <w:pStyle w:val="Heading1"/>
        <w:keepNext/>
      </w:pPr>
      <w:r>
        <w:t xml:space="preserve">Tightened claims</w:t>
      </w:r>
    </w:p>
    <w:p>
      <w:pPr>
        <w:spacing w:after="160" w:line="276" w:lineRule="auto"/>
      </w:pPr>
      <w:r>
        <w:t xml:space="preserve">The reviewer's table, adopted in full.</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995"/>
        <w:gridCol w:w="5365"/>
      </w:tblGrid>
      <w:tr>
        <w:trPr>
          <w:cantSplit/>
          <w:tblHeader/>
        </w:trPr>
        <w:tc>
          <w:tcPr>
            <w:tcW w:type="dxa" w:w="39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My first draft said</w:t>
            </w:r>
          </w:p>
        </w:tc>
        <w:tc>
          <w:tcPr>
            <w:tcW w:type="dxa" w:w="53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 says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weights can leave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Unauthorized transfers are blocked at every listed enforcement point; the permitted output channel has its own leakage threat model and limits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everything except tamperproofness</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policy and protocol logic; hardware coverage, reset behaviour, timing, isolation and physical failures need separate validation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Adding alarms can only improve safety</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Additional alarms reduce approvals; false stops and unsafe shutdowns can introduce hazards, so each endpoint defines its safe move and each witness has a recoverable false-positive path</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Failure always means an action not taken</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application defines a safe move; for some devices "stop" is the hazard</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small verified controller makes the stack verifiable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claimed property depends on hardware, firmware, drivers, configuration and the proof's stated assumptions; seL4's assumptions about hardware and DMA are the model for writing them down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hard watermark</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detachable device-provenance record; workload provenance and execution integrity are separate claims with separate mechanisms, and a watermark is a different tool</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Reversible actions execute and are audited later</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action is authorized; the rule decides the fast or the slow lane; the audit happens either way</w:t>
            </w:r>
          </w:p>
        </w:tc>
      </w:tr>
    </w:tbl>
    <w:p>
      <w:pPr>
        <w:spacing w:after="120"/>
      </w:pPr>
    </w:p>
    <w:p>
      <w:pPr>
        <w:pStyle w:val="Heading1"/>
        <w:keepNext/>
      </w:pPr>
      <w:r>
        <w:t xml:space="preserve">What exists, what is missing, who builds it</w:t>
      </w:r>
    </w:p>
    <w:p>
      <w:pPr>
        <w:spacing w:after="160" w:line="276" w:lineRule="auto"/>
      </w:pPr>
      <w:r>
        <w:t xml:space="preserve">Read this as a shopping list. The second column is what you can download or buy today, the third is what still has to be built, and the last is who would build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779"/>
        <w:gridCol w:w="6248"/>
        <w:gridCol w:w="1362"/>
        <w:gridCol w:w="971"/>
      </w:tblGrid>
      <w:tr>
        <w:trPr>
          <w:cantSplit/>
          <w:tblHeader/>
        </w:trPr>
        <w:tc>
          <w:tcPr>
            <w:tcW w:type="dxa" w:w="77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624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136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97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62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w:t>
            </w:r>
            <w:hyperlink w:history="1" r:id="rIdcooh5s-uk-ct9h1ixugnw">
              <w:r>
                <w:rPr>
                  <w:rStyle w:val="Hyperlink"/>
                  <w:rFonts w:ascii="Georgia" w:cs="Georgia" w:eastAsia="Georgia" w:hAnsi="Georgia"/>
                  <w:color w:val="2C2C2A"/>
                  <w:sz w:val="18"/>
                  <w:szCs w:val="18"/>
                </w:rPr>
                <w:t xml:space="preserve">OpenTitan</w:t>
              </w:r>
            </w:hyperlink>
            <w:r>
              <w:rPr>
                <w:rFonts w:ascii="Georgia" w:cs="Georgia" w:eastAsia="Georgia" w:hAnsi="Georgia"/>
                <w:color w:val="2C2C2A"/>
                <w:sz w:val="18"/>
                <w:szCs w:val="18"/>
              </w:rPr>
              <w:t xml:space="preserve">, </w:t>
            </w:r>
            <w:hyperlink w:history="1" r:id="rIddfgmsvkae_icfvexi7j02">
              <w:r>
                <w:rPr>
                  <w:rStyle w:val="Hyperlink"/>
                  <w:rFonts w:ascii="Georgia" w:cs="Georgia" w:eastAsia="Georgia" w:hAnsi="Georgia"/>
                  <w:color w:val="2C2C2A"/>
                  <w:sz w:val="18"/>
                  <w:szCs w:val="18"/>
                </w:rPr>
                <w:t xml:space="preserve">Pluton</w:t>
              </w:r>
            </w:hyperlink>
            <w:r>
              <w:rPr>
                <w:rFonts w:ascii="Georgia" w:cs="Georgia" w:eastAsia="Georgia" w:hAnsi="Georgia"/>
                <w:color w:val="2C2C2A"/>
                <w:sz w:val="18"/>
                <w:szCs w:val="18"/>
              </w:rPr>
              <w:t xml:space="preserve">, </w:t>
            </w:r>
            <w:hyperlink w:history="1" r:id="rIdmlmterkbiahnezjtr7xjk">
              <w:r>
                <w:rPr>
                  <w:rStyle w:val="Hyperlink"/>
                  <w:rFonts w:ascii="Georgia" w:cs="Georgia" w:eastAsia="Georgia" w:hAnsi="Georgia"/>
                  <w:color w:val="2C2C2A"/>
                  <w:sz w:val="18"/>
                  <w:szCs w:val="18"/>
                </w:rPr>
                <w:t xml:space="preserve">Titan</w:t>
              </w:r>
            </w:hyperlink>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6248"/>
            <w:tcMar>
              <w:top w:type="dxa" w:w="70"/>
              <w:left w:type="dxa" w:w="100"/>
              <w:bottom w:type="dxa" w:w="70"/>
              <w:right w:type="dxa" w:w="100"/>
            </w:tcMar>
          </w:tcPr>
          <w:p>
            <w:pPr>
              <w:spacing w:after="0" w:line="252" w:lineRule="auto"/>
            </w:pPr>
            <w:hyperlink w:history="1" r:id="rIde-bvkf0edqqcpbspl_n7s">
              <w:r>
                <w:rPr>
                  <w:rStyle w:val="Hyperlink"/>
                  <w:rFonts w:ascii="Georgia" w:cs="Georgia" w:eastAsia="Georgia" w:hAnsi="Georgia"/>
                  <w:color w:val="2C2C2A"/>
                  <w:sz w:val="18"/>
                  <w:szCs w:val="18"/>
                </w:rPr>
                <w:t xml:space="preserve">Hopper and Blackwell confidential computing</w:t>
              </w:r>
            </w:hyperlink>
            <w:r>
              <w:rPr>
                <w:rFonts w:ascii="Georgia" w:cs="Georgia" w:eastAsia="Georgia" w:hAnsi="Georgia"/>
                <w:color w:val="2C2C2A"/>
                <w:sz w:val="18"/>
                <w:szCs w:val="18"/>
              </w:rPr>
              <w:t xml:space="preserve">, </w:t>
            </w:r>
            <w:hyperlink w:history="1" r:id="rId4gim6te_kyo-jfh-dolol">
              <w:r>
                <w:rPr>
                  <w:rStyle w:val="Hyperlink"/>
                  <w:rFonts w:ascii="Georgia" w:cs="Georgia" w:eastAsia="Georgia" w:hAnsi="Georgia"/>
                  <w:color w:val="2C2C2A"/>
                  <w:sz w:val="18"/>
                  <w:szCs w:val="18"/>
                </w:rPr>
                <w:t xml:space="preserve">attestation</w:t>
              </w:r>
            </w:hyperlink>
            <w:r>
              <w:rPr>
                <w:rFonts w:ascii="Georgia" w:cs="Georgia" w:eastAsia="Georgia" w:hAnsi="Georgia"/>
                <w:color w:val="2C2C2A"/>
                <w:sz w:val="18"/>
                <w:szCs w:val="18"/>
              </w:rPr>
              <w:t xml:space="preserve">, TEE-I/O on Blackwell; CPU TEEs</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62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shipping as a unit; the closest analogs are the GSP, Pluton, BlueField-4's own root, and the hardware-governance proposals from </w:t>
            </w:r>
            <w:hyperlink w:history="1" r:id="rIdinkjsjxyflp2jvb0kiubq">
              <w:r>
                <w:rPr>
                  <w:rStyle w:val="Hyperlink"/>
                  <w:rFonts w:ascii="Georgia" w:cs="Georgia" w:eastAsia="Georgia" w:hAnsi="Georgia"/>
                  <w:color w:val="2C2C2A"/>
                  <w:sz w:val="18"/>
                  <w:szCs w:val="18"/>
                </w:rPr>
                <w:t xml:space="preserve">CNAS</w:t>
              </w:r>
            </w:hyperlink>
            <w:r>
              <w:rPr>
                <w:rFonts w:ascii="Georgia" w:cs="Georgia" w:eastAsia="Georgia" w:hAnsi="Georgia"/>
                <w:color w:val="2C2C2A"/>
                <w:sz w:val="18"/>
                <w:szCs w:val="18"/>
              </w:rPr>
              <w:t xml:space="preserve"> and the </w:t>
            </w:r>
            <w:hyperlink w:history="1" r:id="rIdva5eqzszly0qy1jvviswg">
              <w:r>
                <w:rPr>
                  <w:rStyle w:val="Hyperlink"/>
                  <w:rFonts w:ascii="Georgia" w:cs="Georgia" w:eastAsia="Georgia" w:hAnsi="Georgia"/>
                  <w:color w:val="2C2C2A"/>
                  <w:sz w:val="18"/>
                  <w:szCs w:val="18"/>
                </w:rPr>
                <w:t xml:space="preserve">flexHEG</w:t>
              </w:r>
            </w:hyperlink>
            <w:r>
              <w:rPr>
                <w:rFonts w:ascii="Georgia" w:cs="Georgia" w:eastAsia="Georgia" w:hAnsi="Georgia"/>
                <w:color w:val="2C2C2A"/>
                <w:sz w:val="18"/>
                <w:szCs w:val="18"/>
              </w:rPr>
              <w:t xml:space="preserve"> group</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Permission-checked work orders, roster-bound peer mappings, output signing, metering, k-of-n policy, signed log</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with regulators; open-silicon projects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6248"/>
            <w:tcMar>
              <w:top w:type="dxa" w:w="70"/>
              <w:left w:type="dxa" w:w="100"/>
              <w:bottom w:type="dxa" w:w="70"/>
              <w:right w:type="dxa" w:w="100"/>
            </w:tcMar>
          </w:tcPr>
          <w:p>
            <w:pPr>
              <w:spacing w:after="0" w:line="252" w:lineRule="auto"/>
            </w:pPr>
            <w:hyperlink w:history="1" r:id="rIdoyyxq5f80jo2ijp6xe2l9">
              <w:r>
                <w:rPr>
                  <w:rStyle w:val="Hyperlink"/>
                  <w:rFonts w:ascii="Georgia" w:cs="Georgia" w:eastAsia="Georgia" w:hAnsi="Georgia"/>
                  <w:color w:val="2C2C2A"/>
                  <w:sz w:val="18"/>
                  <w:szCs w:val="18"/>
                </w:rPr>
                <w:t xml:space="preserve">NVIDIA OpenShell</w:t>
              </w:r>
            </w:hyperlink>
            <w:r>
              <w:rPr>
                <w:rFonts w:ascii="Georgia" w:cs="Georgia" w:eastAsia="Georgia" w:hAnsi="Georgia"/>
                <w:color w:val="2C2C2A"/>
                <w:sz w:val="18"/>
                <w:szCs w:val="18"/>
              </w:rPr>
              <w:t xml:space="preserve"> (Landlock, egress proxy, credential substitution)</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62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hyperlink w:history="1" r:id="rIdeofod_1qjzj4bqt-yyez3">
              <w:r>
                <w:rPr>
                  <w:rStyle w:val="Hyperlink"/>
                  <w:rFonts w:ascii="Consolas" w:cs="Consolas" w:eastAsia="Consolas" w:hAnsi="Consolas"/>
                  <w:color w:val="2C2C2A"/>
                  <w:sz w:val="16"/>
                  <w:szCs w:val="16"/>
                </w:rPr>
                <w:t xml:space="preserve">oasp.py</w:t>
              </w:r>
            </w:hyperlink>
            <w:r>
              <w:rPr>
                <w:rFonts w:ascii="Georgia" w:cs="Georgia" w:eastAsia="Georgia" w:hAnsi="Georgia"/>
                <w:color w:val="2C2C2A"/>
                <w:sz w:val="18"/>
                <w:szCs w:val="18"/>
              </w:rPr>
              <w:t xml:space="preserve">)</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6248"/>
            <w:tcMar>
              <w:top w:type="dxa" w:w="70"/>
              <w:left w:type="dxa" w:w="100"/>
              <w:bottom w:type="dxa" w:w="70"/>
              <w:right w:type="dxa" w:w="100"/>
            </w:tcMar>
          </w:tcPr>
          <w:p>
            <w:pPr>
              <w:spacing w:after="0" w:line="252" w:lineRule="auto"/>
            </w:pPr>
            <w:hyperlink w:history="1" r:id="rId0xmhdsiog3a8qcudusory">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4653zpjyqid_nmvs1smgf">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rulebook, witnesses, budgets, holds, tickets, epochs, durable state</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624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hyperlink w:history="1" r:id="rIda5w6ccobdvzna1mt0dlq-">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as the functional reference</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6248"/>
            <w:tcMar>
              <w:top w:type="dxa" w:w="70"/>
              <w:left w:type="dxa" w:w="100"/>
              <w:bottom w:type="dxa" w:w="70"/>
              <w:right w:type="dxa" w:w="100"/>
            </w:tcMar>
          </w:tcPr>
          <w:p>
            <w:pPr>
              <w:spacing w:after="0" w:line="252" w:lineRule="auto"/>
            </w:pPr>
            <w:hyperlink w:history="1" r:id="rIdv5pva_t7irja95nbvfndg">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two-person rules; approval workflows</w:t>
            </w:r>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6248"/>
            <w:tcMar>
              <w:top w:type="dxa" w:w="70"/>
              <w:left w:type="dxa" w:w="100"/>
              <w:bottom w:type="dxa" w:w="70"/>
              <w:right w:type="dxa" w:w="100"/>
            </w:tcMar>
          </w:tcPr>
          <w:p>
            <w:pPr>
              <w:spacing w:after="0" w:line="252" w:lineRule="auto"/>
            </w:pPr>
            <w:hyperlink w:history="1" r:id="rIddz_9vu0tvbh5kaeup5stc">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lrlcxlym3e32xqefrr0vj">
              <w:r>
                <w:rPr>
                  <w:rStyle w:val="Hyperlink"/>
                  <w:rFonts w:ascii="Georgia" w:cs="Georgia" w:eastAsia="Georgia" w:hAnsi="Georgia"/>
                  <w:color w:val="2C2C2A"/>
                  <w:sz w:val="18"/>
                  <w:szCs w:val="18"/>
                </w:rPr>
                <w:t xml:space="preserve">NVIDIA Sentry</w:t>
              </w:r>
            </w:hyperlink>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77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6248"/>
            <w:tcMar>
              <w:top w:type="dxa" w:w="70"/>
              <w:left w:type="dxa" w:w="100"/>
              <w:bottom w:type="dxa" w:w="70"/>
              <w:right w:type="dxa" w:w="100"/>
            </w:tcMar>
          </w:tcPr>
          <w:p>
            <w:pPr>
              <w:spacing w:after="0" w:line="252" w:lineRule="auto"/>
            </w:pPr>
            <w:hyperlink w:history="1" r:id="rIdkzj8c9tjvclhagkrgnong">
              <w:r>
                <w:rPr>
                  <w:rStyle w:val="Hyperlink"/>
                  <w:rFonts w:ascii="Consolas" w:cs="Consolas" w:eastAsia="Consolas" w:hAnsi="Consolas"/>
                  <w:color w:val="2C2C2A"/>
                  <w:sz w:val="16"/>
                  <w:szCs w:val="16"/>
                </w:rPr>
                <w:t xml:space="preserve">Watermark</w:t>
              </w:r>
            </w:hyperlink>
          </w:p>
        </w:tc>
        <w:tc>
          <w:tcPr>
            <w:tcW w:type="dxa" w:w="136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9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spacing w:after="160" w:line="276" w:lineRule="auto"/>
      </w:pPr>
      <w:r>
        <w:t xml:space="preserve">Eight limits, stated so nobody reads more into the contract than it says.</w:t>
      </w:r>
    </w:p>
    <w:p>
      <w:pPr>
        <w:pStyle w:val="ListParagraph"/>
        <w:numPr>
          <w:ilvl w:val="0"/>
          <w:numId w:val="4"/>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4"/>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4"/>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4"/>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4"/>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4"/>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4"/>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4"/>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Appendix A: the controller's mailbox</w:t>
      </w:r>
    </w:p>
    <w:p>
      <w:pPr>
        <w:spacing w:after="160" w:line="276" w:lineRule="auto"/>
      </w:pPr>
      <w:r>
        <w:t xml:space="preserve">Every command is a signed request. Every response is a signed record. There are no writable registers. This is the security office's phone menu.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760"/>
        <w:gridCol w:w="3023"/>
        <w:gridCol w:w="1742"/>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Command</w:t>
            </w:r>
          </w:p>
        </w:tc>
        <w:tc>
          <w:tcPr>
            <w:tcW w:type="dxa" w:w="276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Arguments</w:t>
            </w:r>
          </w:p>
        </w:tc>
        <w:tc>
          <w:tcPr>
            <w:tcW w:type="dxa" w:w="30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Returns</w:t>
            </w:r>
          </w:p>
        </w:tc>
        <w:tc>
          <w:tcPr>
            <w:tcW w:type="dxa" w:w="17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may call</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and epoch, permission-table digest, counters</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BEGIN_MODEL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Publisher-signed manifest of tensor hashes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Fingerprint extended; the model digest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 inside the enclave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Counters finalized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CAP_REQUEST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peer identity, direction, byte budget, time-to-live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or a denial with reason</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via the GSP</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ROSTER_JOIN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attestation report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Roster id; peer permission; link key material</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at job start</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EP_CONFIGURE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permission set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Acknowledgement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 only, from policy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SIGN_OUTPUT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Stream id, claimed prompt hash, 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POLICY_PROPOSE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version, expiry, signatures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Accepted if the threshold is met; the new epoch</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HEARTBEAT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token</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Timer reset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HALT</w:t>
            </w:r>
            <w:r>
              <w:rPr>
                <w:rFonts w:ascii="Georgia" w:cs="Georgia" w:eastAsia="Georgia" w:hAnsi="Georgia"/>
                <w:color w:val="2C2C2A"/>
                <w:sz w:val="18"/>
                <w:szCs w:val="18"/>
              </w:rPr>
              <w:t xml:space="preserve"> / </w:t>
            </w:r>
            <w:r>
              <w:rPr>
                <w:rFonts w:ascii="Consolas" w:cs="Consolas" w:eastAsia="Consolas" w:hAnsi="Consolas"/>
                <w:color w:val="2C2C2A"/>
                <w:sz w:val="16"/>
                <w:szCs w:val="16"/>
              </w:rPr>
              <w:t xml:space="preserve">THROTTLE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command</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Lines asserted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LOG_CHECKPOINT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Merkle root, size, head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COUNTERS</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bytes in and out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EXCEPTION_DRAIN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Refused transactions since the last drain, for the log</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w:t>
            </w:r>
          </w:p>
        </w:tc>
      </w:tr>
    </w:tbl>
    <w:p>
      <w:pPr>
        <w:spacing w:after="120"/>
      </w:pPr>
    </w:p>
    <w:p>
      <w:pPr>
        <w:pStyle w:val="Heading1"/>
        <w:keepNext/>
      </w:pPr>
      <w:r>
        <w:t xml:space="preserve">Appendix B: the permission</w:t>
      </w:r>
    </w:p>
    <w:p>
      <w:pPr>
        <w:spacing w:after="160" w:line="276" w:lineRule="auto"/>
      </w:pPr>
      <w:r>
        <w:t xml:space="preserve">One row per permitted class of traffic at one enforcement point. The default table is empty except for what the policy and the roster add. It is the hall pass: who, which door, which direction, how much, until when.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18"/>
        <w:gridCol w:w="7542"/>
      </w:tblGrid>
      <w:tr>
        <w:trPr>
          <w:cantSplit/>
          <w:tblHeader/>
        </w:trPr>
        <w:tc>
          <w:tcPr>
            <w:tcW w:type="dxa" w:w="181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75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point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copy engine, peer mapping, link, RDMA filter, storage channel</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peer</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Verified identity of the other end: a roster member, the host enclave, a storage manifest, a NIC flow</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direction</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 out, or both</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Bytes permitted before the permission expires</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expiry</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 or job end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under which this row was added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mac</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Controller-keyed integrity tag</w:t>
            </w:r>
          </w:p>
        </w:tc>
      </w:tr>
    </w:tbl>
    <w:p>
      <w:pPr>
        <w:spacing w:after="120"/>
      </w:pPr>
    </w:p>
    <w:p>
      <w:pPr>
        <w:spacing w:after="160" w:line="276" w:lineRule="auto"/>
      </w:pPr>
      <w:r>
        <w:t xml:space="preserve">A transaction that matches no row is refused at the checker, and the refusal is drained to the log with its source, destination and size.</w:t>
      </w:r>
    </w:p>
    <w:p>
      <w:pPr>
        <w:pStyle w:val="Heading1"/>
        <w:keepNext/>
      </w:pPr>
      <w:r>
        <w:t xml:space="preserve">Appendix C: the ticket and the reservation</w:t>
      </w:r>
    </w:p>
    <w:p>
      <w:pPr>
        <w:spacing w:after="160" w:line="276" w:lineRule="auto"/>
      </w:pPr>
      <w:r>
        <w:t xml:space="preserve">The ticket as </w:t>
      </w:r>
      <w:hyperlink w:history="1" r:id="rIdkjpi-qonphmvxf918u98g">
        <w:r>
          <w:rPr>
            <w:rStyle w:val="Hyperlink"/>
            <w:rFonts w:ascii="Consolas" w:cs="Consolas" w:eastAsia="Consolas" w:hAnsi="Consolas"/>
            <w:sz w:val="20"/>
            <w:szCs w:val="20"/>
          </w:rPr>
          <w:t xml:space="preserve">gate.py</w:t>
        </w:r>
      </w:hyperlink>
      <w:r>
        <w:t xml:space="preserve"> mints it today, with the fields the review added marked. One seat, one show, torn at the door.</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083"/>
        <w:gridCol w:w="6277"/>
      </w:tblGrid>
      <w:tr>
        <w:trPr>
          <w:cantSplit/>
          <w:tblHeader/>
        </w:trPr>
        <w:tc>
          <w:tcPr>
            <w:tcW w:type="dxa" w:w="30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627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ticket_id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Random, single-use; burned durably at the endpoint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request_hash</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of request id, fingerprint, action and fields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action</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params_digest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may happen, and with exactly which fields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measurement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workload the permission was granted to</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rule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entry that allowed it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policy_id</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epoch; the endpoint refuses any other</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w:t>
            </w:r>
            <w:r>
              <w:rPr>
                <w:rFonts w:ascii="Georgia" w:cs="Georgia" w:eastAsia="Georgia" w:hAnsi="Georgia"/>
                <w:color w:val="2C2C2A"/>
                <w:sz w:val="18"/>
                <w:szCs w:val="18"/>
              </w:rPr>
              <w:t xml:space="preserve"> (added, optional)</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registry the ticket is valid at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budget_key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reservation</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shared allowance and the reservation held against it; committed by the endpoint before it acts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issued_at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expires_at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Lifetime; an unused reservation is released at expiry</w:t>
            </w:r>
          </w:p>
        </w:tc>
      </w:tr>
      <w:tr>
        <w:trPr>
          <w:cantSplit/>
          <w:tblHeader w:val="false"/>
        </w:trPr>
        <w:tc>
          <w:tcPr>
            <w:tcW w:type="dxa" w:w="30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gate's key, derived from what booted</w:t>
            </w:r>
          </w:p>
        </w:tc>
      </w:tr>
    </w:tbl>
    <w:p>
      <w:pPr>
        <w:spacing w:after="120"/>
      </w:pPr>
    </w:p>
    <w:p>
      <w:pPr>
        <w:pStyle w:val="Heading1"/>
        <w:keepNext/>
      </w:pPr>
      <w:r>
        <w:t xml:space="preserve">Appendix D: the device-provenance record</w:t>
      </w:r>
    </w:p>
    <w:p>
      <w:pPr>
        <w:spacing w:after="160" w:line="276" w:lineRule="auto"/>
      </w:pPr>
      <w:r>
        <w:t xml:space="preserve">The courier's signature, field by field.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920"/>
        <w:gridCol w:w="3527"/>
        <w:gridCol w:w="3913"/>
      </w:tblGrid>
      <w:tr>
        <w:trPr>
          <w:cantSplit/>
          <w:tblHeader/>
        </w:trPr>
        <w:tc>
          <w:tcPr>
            <w:tcW w:type="dxa" w:w="19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35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c>
          <w:tcPr>
            <w:tcW w:type="dxa" w:w="391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chip_id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fw_measurement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identity; the hash chain from the root</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device and firmware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model_digest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From </w:t>
            </w:r>
            <w:r>
              <w:rPr>
                <w:rFonts w:ascii="Consolas" w:cs="Consolas" w:eastAsia="Consolas" w:hAnsi="Consolas"/>
                <w:color w:val="2C2C2A"/>
                <w:sz w:val="16"/>
                <w:szCs w:val="16"/>
              </w:rPr>
              <w:t xml:space="preserve">BEGIN_MODEL</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model was loaded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active policy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rules were in force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roster_id</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group that ran the job</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peers were allowed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prompt_hash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As supplied by the serving stack</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stack's claim about the input, authenticated, not verified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output_hash</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token_count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of the bytes that crossed the output path</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These bytes left this device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nonce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time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counters</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Freshness and metering</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When, and how much compute</w:t>
            </w:r>
          </w:p>
        </w:tc>
      </w:tr>
      <w:tr>
        <w:trPr>
          <w:cantSplit/>
          <w:tblHeader w:val="false"/>
        </w:trPr>
        <w:tc>
          <w:tcPr>
            <w:tcW w:type="dxa" w:w="19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Chip-bound key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device signed all of the above</w:t>
            </w:r>
          </w:p>
        </w:tc>
      </w:tr>
    </w:tbl>
    <w:p>
      <w:pPr>
        <w:spacing w:after="120"/>
      </w:pPr>
    </w:p>
    <w:p>
      <w:pPr>
        <w:spacing w:after="160" w:line="276" w:lineRule="auto"/>
      </w:pPr>
      <w:r>
        <w:t xml:space="preserve">This record is what the provenance lane can anchor to and what the gate can require. It establishes device provenance. Workload provenance needs the verified runtime's own record alongside it. Execution integrity needs work that has not been done.</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spacing w:after="160" w:line="276" w:lineRule="auto"/>
      </w:pPr>
      <w:r>
        <w:t xml:space="preserve">Security and verification:</w:t>
      </w:r>
    </w:p>
    <w:p>
      <w:pPr>
        <w:pStyle w:val="ListParagraph"/>
        <w:numPr>
          <w:ilvl w:val="0"/>
          <w:numId w:val="4"/>
        </w:numPr>
        <w:spacing w:after="100" w:line="276" w:lineRule="auto"/>
      </w:pPr>
      <w:r>
        <w:t xml:space="preserve">J. P. Anderson, </w:t>
      </w:r>
      <w:hyperlink w:history="1" r:id="rIdlj7nis5mpihojk_ctfg2y">
        <w:r>
          <w:rPr>
            <w:rStyle w:val="Hyperlink"/>
            <w:i/>
            <w:iCs/>
          </w:rPr>
          <w:t xml:space="preserve">Computer Security Technology Planning Study</w:t>
        </w:r>
      </w:hyperlink>
      <w:r>
        <w:t xml:space="preserve">, US Air Force ESD-TR-73-51 (1972). The reference-monitor concept.</w:t>
      </w:r>
    </w:p>
    <w:p>
      <w:pPr>
        <w:pStyle w:val="ListParagraph"/>
        <w:numPr>
          <w:ilvl w:val="0"/>
          <w:numId w:val="4"/>
        </w:numPr>
        <w:spacing w:after="100" w:line="276" w:lineRule="auto"/>
      </w:pPr>
      <w:r>
        <w:t xml:space="preserve">The seL4 project, </w:t>
      </w:r>
      <w:hyperlink w:history="1" r:id="rIdyv77lw9fhgjzpgaekkkmz">
        <w:r>
          <w:rPr>
            <w:rStyle w:val="Hyperlink"/>
            <w:i/>
            <w:iCs/>
          </w:rPr>
          <w:t xml:space="preserve">Verification</w:t>
        </w:r>
      </w:hyperlink>
      <w:r>
        <w:t xml:space="preserve">: what the proofs cover and what they assume about hardware and DMA.</w:t>
      </w:r>
    </w:p>
    <w:p>
      <w:pPr>
        <w:pStyle w:val="ListParagraph"/>
        <w:numPr>
          <w:ilvl w:val="0"/>
          <w:numId w:val="4"/>
        </w:numPr>
        <w:spacing w:after="100" w:line="276" w:lineRule="auto"/>
      </w:pPr>
      <w:hyperlink w:history="1" r:id="rId1v3yn3phgcu7ldxhww1vv">
        <w:r>
          <w:rPr>
            <w:rStyle w:val="Hyperlink"/>
          </w:rPr>
          <w:t xml:space="preserve">IEC 61508</w:t>
        </w:r>
      </w:hyperlink>
      <w:r>
        <w:t xml:space="preserve"> and </w:t>
      </w:r>
      <w:hyperlink w:history="1" r:id="rIdcdilq9lxrw2ajtst2urjt">
        <w:r>
          <w:rPr>
            <w:rStyle w:val="Hyperlink"/>
          </w:rPr>
          <w:t xml:space="preserve">IEC 61511</w:t>
        </w:r>
      </w:hyperlink>
      <w:r>
        <w:t xml:space="preserve">, functional safety of safety instrumented systems.</w:t>
      </w:r>
    </w:p>
    <w:p>
      <w:pPr>
        <w:pStyle w:val="ListParagraph"/>
        <w:numPr>
          <w:ilvl w:val="0"/>
          <w:numId w:val="4"/>
        </w:numPr>
        <w:spacing w:after="100" w:line="276" w:lineRule="auto"/>
      </w:pPr>
      <w:r>
        <w:t xml:space="preserve">D. Dalrymple et al., </w:t>
      </w:r>
      <w:hyperlink w:history="1" r:id="rId7onxisyh9u8vzcgwjxhzq">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spacing w:after="160" w:line="276" w:lineRule="auto"/>
      </w:pPr>
      <w:r>
        <w:t xml:space="preserve">Hardware governance:</w:t>
      </w:r>
    </w:p>
    <w:p>
      <w:pPr>
        <w:pStyle w:val="ListParagraph"/>
        <w:numPr>
          <w:ilvl w:val="0"/>
          <w:numId w:val="4"/>
        </w:numPr>
        <w:spacing w:after="100" w:line="276" w:lineRule="auto"/>
      </w:pPr>
      <w:r>
        <w:t xml:space="preserve">O. Aarne, T. Fist and C. Withers, </w:t>
      </w:r>
      <w:hyperlink w:history="1" r:id="rIdat5s2uufeng5vqmqtomqn">
        <w:r>
          <w:rPr>
            <w:rStyle w:val="Hyperlink"/>
            <w:i/>
            <w:iCs/>
          </w:rPr>
          <w:t xml:space="preserve">Secure, Governable Chips</w:t>
        </w:r>
      </w:hyperlink>
      <w:r>
        <w:t xml:space="preserve">, Center for a New American Security (2024).</w:t>
      </w:r>
    </w:p>
    <w:p>
      <w:pPr>
        <w:pStyle w:val="ListParagraph"/>
        <w:numPr>
          <w:ilvl w:val="0"/>
          <w:numId w:val="4"/>
        </w:numPr>
        <w:spacing w:after="100" w:line="276" w:lineRule="auto"/>
      </w:pPr>
      <w:r>
        <w:t xml:space="preserve">J. Petrie, O. Aarne, N. Ammann and D. Dalrymple, </w:t>
      </w:r>
      <w:hyperlink w:history="1" r:id="rIdlbvcmzwyt41u7niqr7vod">
        <w:r>
          <w:rPr>
            <w:rStyle w:val="Hyperlink"/>
            <w:i/>
            <w:iCs/>
          </w:rPr>
          <w:t xml:space="preserve">Flexible Hardware-Enabled Guarantees for AI Compute</w:t>
        </w:r>
      </w:hyperlink>
      <w:r>
        <w:t xml:space="preserve"> (2025).</w:t>
      </w:r>
    </w:p>
    <w:p>
      <w:pPr>
        <w:spacing w:after="160" w:line="276" w:lineRule="auto"/>
      </w:pPr>
      <w:r>
        <w:t xml:space="preserve">NVIDIA, the platform this design sits on:</w:t>
      </w:r>
    </w:p>
    <w:p>
      <w:pPr>
        <w:pStyle w:val="ListParagraph"/>
        <w:numPr>
          <w:ilvl w:val="0"/>
          <w:numId w:val="4"/>
        </w:numPr>
        <w:spacing w:after="100" w:line="276" w:lineRule="auto"/>
      </w:pPr>
      <w:hyperlink w:history="1" r:id="rIdrastbvio0fuwpukbiwqbx">
        <w:r>
          <w:rPr>
            <w:rStyle w:val="Hyperlink"/>
            <w:i/>
            <w:iCs/>
          </w:rPr>
          <w:t xml:space="preserve">NVIDIA Secure AI with Blackwell and Hopper GPUs</w:t>
        </w:r>
      </w:hyperlink>
      <w:r>
        <w:t xml:space="preserve">, white paper WP-12554-001 v1.3 (August 2025). Bounce buffers, TDISP/IDE, NVLink encryption on Blackwell, the SPDM session.</w:t>
      </w:r>
    </w:p>
    <w:p>
      <w:pPr>
        <w:pStyle w:val="ListParagraph"/>
        <w:numPr>
          <w:ilvl w:val="0"/>
          <w:numId w:val="4"/>
        </w:numPr>
        <w:spacing w:after="100" w:line="276" w:lineRule="auto"/>
      </w:pPr>
      <w:hyperlink w:history="1" r:id="rId6zif9wpjlnxfztd-z63y8">
        <w:r>
          <w:rPr>
            <w:rStyle w:val="Hyperlink"/>
            <w:i/>
            <w:iCs/>
          </w:rPr>
          <w:t xml:space="preserve">Confidential Computing on NVIDIA H100 GPUs for Secure and Trustworthy AI</w:t>
        </w:r>
      </w:hyperlink>
      <w:r>
        <w:t xml:space="preserve">, NVIDIA Technical Blog.</w:t>
      </w:r>
    </w:p>
    <w:p>
      <w:pPr>
        <w:pStyle w:val="ListParagraph"/>
        <w:numPr>
          <w:ilvl w:val="0"/>
          <w:numId w:val="4"/>
        </w:numPr>
        <w:spacing w:after="100" w:line="276" w:lineRule="auto"/>
      </w:pPr>
      <w:hyperlink w:history="1" r:id="rIdkxwzkj7iqzb2wlmra3ano">
        <w:r>
          <w:rPr>
            <w:rStyle w:val="Hyperlink"/>
          </w:rPr>
          <w:t xml:space="preserve">NVIDIA Trusted Computing Solutions</w:t>
        </w:r>
      </w:hyperlink>
      <w:r>
        <w:t xml:space="preserve">, </w:t>
      </w:r>
      <w:hyperlink w:history="1" r:id="rIdvquej_byzy9oz-lqtraaa">
        <w:r>
          <w:rPr>
            <w:rStyle w:val="Hyperlink"/>
          </w:rPr>
          <w:t xml:space="preserve">NVIDIA Attestation</w:t>
        </w:r>
      </w:hyperlink>
      <w:r>
        <w:t xml:space="preserve"> and the </w:t>
      </w:r>
      <w:hyperlink w:history="1" r:id="rIdma7m-_locweltff4dh3al">
        <w:r>
          <w:rPr>
            <w:rStyle w:val="Hyperlink"/>
          </w:rPr>
          <w:t xml:space="preserve">nvtrust</w:t>
        </w:r>
      </w:hyperlink>
      <w:r>
        <w:t xml:space="preserve"> repository: verification of measured GPU state against reference measurements.</w:t>
      </w:r>
    </w:p>
    <w:p>
      <w:pPr>
        <w:pStyle w:val="ListParagraph"/>
        <w:numPr>
          <w:ilvl w:val="0"/>
          <w:numId w:val="4"/>
        </w:numPr>
        <w:spacing w:after="100" w:line="276" w:lineRule="auto"/>
      </w:pPr>
      <w:hyperlink w:history="1" r:id="rId-s4exrlorvztoo_x_8vay">
        <w:r>
          <w:rPr>
            <w:rStyle w:val="Hyperlink"/>
          </w:rPr>
          <w:t xml:space="preserve">CUDA Programming Guide</w:t>
        </w:r>
      </w:hyperlink>
      <w:r>
        <w:t xml:space="preserve">, the section on peer-to-peer memory access: direct loads and stores into another GPU's memory.</w:t>
      </w:r>
    </w:p>
    <w:p>
      <w:pPr>
        <w:pStyle w:val="ListParagraph"/>
        <w:numPr>
          <w:ilvl w:val="0"/>
          <w:numId w:val="4"/>
        </w:numPr>
        <w:spacing w:after="100" w:line="276" w:lineRule="auto"/>
      </w:pPr>
      <w:hyperlink w:history="1" r:id="rIdwd7_dnthk89ghfin6f72c">
        <w:r>
          <w:rPr>
            <w:rStyle w:val="Hyperlink"/>
          </w:rPr>
          <w:t xml:space="preserve">GPUDirect RDMA</w:t>
        </w:r>
      </w:hyperlink>
      <w:r>
        <w:t xml:space="preserve"> and </w:t>
      </w:r>
      <w:hyperlink w:history="1" r:id="rId74rs5qa5crkoxuw26djxa">
        <w:r>
          <w:rPr>
            <w:rStyle w:val="Hyperlink"/>
          </w:rPr>
          <w:t xml:space="preserve">GPUDirect Storage</w:t>
        </w:r>
      </w:hyperlink>
      <w:r>
        <w:t xml:space="preserve"> documentation.</w:t>
      </w:r>
    </w:p>
    <w:p>
      <w:pPr>
        <w:pStyle w:val="ListParagraph"/>
        <w:numPr>
          <w:ilvl w:val="0"/>
          <w:numId w:val="4"/>
        </w:numPr>
        <w:spacing w:after="100" w:line="276" w:lineRule="auto"/>
      </w:pPr>
      <w:hyperlink w:history="1" r:id="rIdzi7z0xgebgng130vxyoag">
        <w:r>
          <w:rPr>
            <w:rStyle w:val="Hyperlink"/>
            <w:i/>
            <w:iCs/>
          </w:rPr>
          <w:t xml:space="preserve">NVIDIA Launches Open Agent Safety Platform</w:t>
        </w:r>
      </w:hyperlink>
      <w:r>
        <w:t xml:space="preserve"> (September 28, 2026); </w:t>
      </w:r>
      <w:hyperlink w:history="1" r:id="rIdschk4ev2vpuzbewfcdz52">
        <w:r>
          <w:rPr>
            <w:rStyle w:val="Hyperlink"/>
            <w:i/>
            <w:iCs/>
          </w:rPr>
          <w:t xml:space="preserve">NVIDIA Open Agent Safety Platform: A Reference for Continuous In-Silicon Agent Monitoring</w:t>
        </w:r>
      </w:hyperlink>
      <w:r>
        <w:t xml:space="preserve"> and </w:t>
      </w:r>
      <w:hyperlink w:history="1" r:id="rIds9hhukfmldmztxvv_aoje">
        <w:r>
          <w:rPr>
            <w:rStyle w:val="Hyperlink"/>
            <w:i/>
            <w:iCs/>
          </w:rPr>
          <w:t xml:space="preserve">Add Runtime Controls to AI Agents with NVIDIA OpenShell</w:t>
        </w:r>
      </w:hyperlink>
      <w:r>
        <w:t xml:space="preserve">, NVIDIA Technical Blog; </w:t>
      </w:r>
      <w:hyperlink w:history="1" r:id="rIdzrse3jqql0hk6glb8cz41">
        <w:r>
          <w:rPr>
            <w:rStyle w:val="Hyperlink"/>
          </w:rPr>
          <w:t xml:space="preserve">OpenShell on GitHub</w:t>
        </w:r>
      </w:hyperlink>
      <w:r>
        <w:t xml:space="preserve"> and its </w:t>
      </w:r>
      <w:hyperlink w:history="1" r:id="rIdnmd7-njox0u_fzfgzxixa">
        <w:r>
          <w:rPr>
            <w:rStyle w:val="Hyperlink"/>
          </w:rPr>
          <w:t xml:space="preserve">documentation</w:t>
        </w:r>
      </w:hyperlink>
      <w:r>
        <w:t xml:space="preserve">.</w:t>
      </w:r>
    </w:p>
    <w:p>
      <w:pPr>
        <w:pStyle w:val="ListParagraph"/>
        <w:numPr>
          <w:ilvl w:val="0"/>
          <w:numId w:val="4"/>
        </w:numPr>
        <w:spacing w:after="100" w:line="276" w:lineRule="auto"/>
      </w:pPr>
      <w:hyperlink w:history="1" r:id="rIdnxwe26krrexwdrzw9iurz">
        <w:r>
          <w:rPr>
            <w:rStyle w:val="Hyperlink"/>
          </w:rPr>
          <w:t xml:space="preserve">BlueField DPUs</w:t>
        </w:r>
      </w:hyperlink>
      <w:r>
        <w:t xml:space="preserve"> and the </w:t>
      </w:r>
      <w:hyperlink w:history="1" r:id="rIdjwfccoodr-h4uidchoba8">
        <w:r>
          <w:rPr>
            <w:rStyle w:val="Hyperlink"/>
          </w:rPr>
          <w:t xml:space="preserve">DOCA</w:t>
        </w:r>
      </w:hyperlink>
      <w:r>
        <w:t xml:space="preserve"> framework; the </w:t>
      </w:r>
      <w:hyperlink w:history="1" r:id="rIdsy4ugy9xikqd8avjwqvtj">
        <w:r>
          <w:rPr>
            <w:rStyle w:val="Hyperlink"/>
          </w:rPr>
          <w:t xml:space="preserve">Blackwell architecture technical overview</w:t>
        </w:r>
      </w:hyperlink>
      <w:r>
        <w:t xml:space="preserve">.</w:t>
      </w:r>
    </w:p>
    <w:p>
      <w:pPr>
        <w:spacing w:after="160" w:line="276" w:lineRule="auto"/>
      </w:pPr>
      <w:r>
        <w:t xml:space="preserve">Standards and building blocks:</w:t>
      </w:r>
    </w:p>
    <w:p>
      <w:pPr>
        <w:pStyle w:val="ListParagraph"/>
        <w:numPr>
          <w:ilvl w:val="0"/>
          <w:numId w:val="4"/>
        </w:numPr>
        <w:spacing w:after="100" w:line="276" w:lineRule="auto"/>
      </w:pPr>
      <w:hyperlink w:history="1" r:id="rIdyqetvyb3hohu72qxaik8w">
        <w:r>
          <w:rPr>
            <w:rStyle w:val="Hyperlink"/>
          </w:rPr>
          <w:t xml:space="preserve">RFC 9334</w:t>
        </w:r>
      </w:hyperlink>
      <w:r>
        <w:t xml:space="preserve">, Remote Attestation Procedures architecture; </w:t>
      </w:r>
      <w:hyperlink w:history="1" r:id="rIdfuc6m5gxltfqq3nqbbup4">
        <w:r>
          <w:rPr>
            <w:rStyle w:val="Hyperlink"/>
          </w:rPr>
          <w:t xml:space="preserve">RFC 6962</w:t>
        </w:r>
      </w:hyperlink>
      <w:r>
        <w:t xml:space="preserve">, Certificate Transparency; the </w:t>
      </w:r>
      <w:hyperlink w:history="1" r:id="rIdruh--axp3ybjtv5or4a8u">
        <w:r>
          <w:rPr>
            <w:rStyle w:val="Hyperlink"/>
          </w:rPr>
          <w:t xml:space="preserve">TCG DICE</w:t>
        </w:r>
      </w:hyperlink>
      <w:r>
        <w:t xml:space="preserve"> architectures; </w:t>
      </w:r>
      <w:hyperlink w:history="1" r:id="rIdyrkpef99gd0e-jpfiwhhh">
        <w:r>
          <w:rPr>
            <w:rStyle w:val="Hyperlink"/>
          </w:rPr>
          <w:t xml:space="preserve">DMTF SPDM</w:t>
        </w:r>
      </w:hyperlink>
      <w:r>
        <w:t xml:space="preserve">.</w:t>
      </w:r>
    </w:p>
    <w:p>
      <w:pPr>
        <w:pStyle w:val="ListParagraph"/>
        <w:numPr>
          <w:ilvl w:val="0"/>
          <w:numId w:val="4"/>
        </w:numPr>
        <w:spacing w:after="100" w:line="276" w:lineRule="auto"/>
      </w:pPr>
      <w:hyperlink w:history="1" r:id="rIdthivzww3bvpnmwh3l8qj9">
        <w:r>
          <w:rPr>
            <w:rStyle w:val="Hyperlink"/>
          </w:rPr>
          <w:t xml:space="preserve">TDISP and IDE for PCIe and CXL</w:t>
        </w:r>
      </w:hyperlink>
      <w:r>
        <w:t xml:space="preserve">, a readable explainer of the PCI-SIG TEE-I/O protocols.</w:t>
      </w:r>
    </w:p>
    <w:p>
      <w:pPr>
        <w:pStyle w:val="ListParagraph"/>
        <w:numPr>
          <w:ilvl w:val="0"/>
          <w:numId w:val="4"/>
        </w:numPr>
        <w:spacing w:after="100" w:line="276" w:lineRule="auto"/>
      </w:pPr>
      <w:hyperlink w:history="1" r:id="rIdl56npo4zoi3jqee9ccgce">
        <w:r>
          <w:rPr>
            <w:rStyle w:val="Hyperlink"/>
          </w:rPr>
          <w:t xml:space="preserve">Landlock</w:t>
        </w:r>
      </w:hyperlink>
      <w:r>
        <w:t xml:space="preserve">, the Linux kernel's unprivileged access control, which OpenShell uses for its file-path allowlist.</w:t>
      </w:r>
    </w:p>
    <w:p>
      <w:pPr>
        <w:pStyle w:val="ListParagraph"/>
        <w:numPr>
          <w:ilvl w:val="0"/>
          <w:numId w:val="4"/>
        </w:numPr>
        <w:spacing w:after="100" w:line="276" w:lineRule="auto"/>
      </w:pPr>
      <w:r>
        <w:t xml:space="preserve">Roots of trust in the wild: </w:t>
      </w:r>
      <w:hyperlink w:history="1" r:id="rId9po-lbfew7hstn1jp9uch">
        <w:r>
          <w:rPr>
            <w:rStyle w:val="Hyperlink"/>
          </w:rPr>
          <w:t xml:space="preserve">OpenTitan</w:t>
        </w:r>
      </w:hyperlink>
      <w:r>
        <w:t xml:space="preserve">, </w:t>
      </w:r>
      <w:hyperlink w:history="1" r:id="rIdt-m0pass92l_wbxba3uxp">
        <w:r>
          <w:rPr>
            <w:rStyle w:val="Hyperlink"/>
          </w:rPr>
          <w:t xml:space="preserve">Microsoft Pluton</w:t>
        </w:r>
      </w:hyperlink>
      <w:r>
        <w:t xml:space="preserve">, </w:t>
      </w:r>
      <w:hyperlink w:history="1" r:id="rIdnxyhmwvfe_2knxdz4w2o0">
        <w:r>
          <w:rPr>
            <w:rStyle w:val="Hyperlink"/>
          </w:rPr>
          <w:t xml:space="preserve">Google Titan</w:t>
        </w:r>
      </w:hyperlink>
      <w:r>
        <w:t xml:space="preserve">.</w:t>
      </w:r>
    </w:p>
    <w:p>
      <w:pPr>
        <w:spacing w:after="160" w:line="276" w:lineRule="auto"/>
      </w:pPr>
      <w:r>
        <w:t xml:space="preserve">This repository:</w:t>
      </w:r>
    </w:p>
    <w:p>
      <w:pPr>
        <w:pStyle w:val="ListParagraph"/>
        <w:numPr>
          <w:ilvl w:val="0"/>
          <w:numId w:val="4"/>
        </w:numPr>
        <w:spacing w:after="100" w:line="276" w:lineRule="auto"/>
      </w:pPr>
      <w:hyperlink w:history="1" r:id="rIdq_fry8b01vqvssuix-3ko">
        <w:r>
          <w:rPr>
            <w:rStyle w:val="Hyperlink"/>
            <w:rFonts w:ascii="Consolas" w:cs="Consolas" w:eastAsia="Consolas" w:hAnsi="Consolas"/>
            <w:sz w:val="20"/>
            <w:szCs w:val="20"/>
          </w:rPr>
          <w:t xml:space="preserve">docs/CHIP_DESIGN.md</w:t>
        </w:r>
      </w:hyperlink>
      <w:r>
        <w:t xml:space="preserve">, the design as a specification; </w:t>
      </w:r>
      <w:hyperlink w:history="1" r:id="rIdwmgci411u6gsxnxoaoinx">
        <w:r>
          <w:rPr>
            <w:rStyle w:val="Hyperlink"/>
            <w:rFonts w:ascii="Consolas" w:cs="Consolas" w:eastAsia="Consolas" w:hAnsi="Consolas"/>
            <w:sz w:val="20"/>
            <w:szCs w:val="20"/>
          </w:rPr>
          <w:t xml:space="preserve">docs/PROTOTYPING.md</w:t>
        </w:r>
      </w:hyperlink>
      <w:r>
        <w:t xml:space="preserve">, the experiment program; </w:t>
      </w:r>
      <w:hyperlink w:history="1" r:id="rIdw0ggp1mcrvd1aadbp7njw">
        <w:r>
          <w:rPr>
            <w:rStyle w:val="Hyperlink"/>
            <w:rFonts w:ascii="Consolas" w:cs="Consolas" w:eastAsia="Consolas" w:hAnsi="Consolas"/>
            <w:sz w:val="20"/>
            <w:szCs w:val="20"/>
          </w:rPr>
          <w:t xml:space="preserve">docs/REVIEW-2026-10.md</w:t>
        </w:r>
      </w:hyperlink>
      <w:r>
        <w:t xml:space="preserve">, the review and what changed.</w:t>
      </w:r>
    </w:p>
    <w:p>
      <w:pPr>
        <w:pStyle w:val="ListParagraph"/>
        <w:numPr>
          <w:ilvl w:val="0"/>
          <w:numId w:val="4"/>
        </w:numPr>
        <w:spacing w:after="100" w:line="276" w:lineRule="auto"/>
      </w:pPr>
      <w:r>
        <w:t xml:space="preserve">The companion lanes: </w:t>
      </w:r>
      <w:hyperlink w:history="1" r:id="rIdkjjbs1fvdgot1_tlqak9t">
        <w:r>
          <w:rPr>
            <w:rStyle w:val="Hyperlink"/>
            <w:rFonts w:ascii="Consolas" w:cs="Consolas" w:eastAsia="Consolas" w:hAnsi="Consolas"/>
            <w:sz w:val="20"/>
            <w:szCs w:val="20"/>
          </w:rPr>
          <w:t xml:space="preserve">autonomic-graph-regulation</w:t>
        </w:r>
      </w:hyperlink>
      <w:r>
        <w:t xml:space="preserve"> (observers) and </w:t>
      </w:r>
      <w:hyperlink w:history="1" r:id="rId0x1pjkw04r9a_tj16q-kq">
        <w:r>
          <w:rPr>
            <w:rStyle w:val="Hyperlink"/>
            <w:rFonts w:ascii="Consolas" w:cs="Consolas" w:eastAsia="Consolas" w:hAnsi="Consolas"/>
            <w:sz w:val="20"/>
            <w:szCs w:val="20"/>
          </w:rPr>
          <w:t xml:space="preserve">Watermark</w:t>
        </w:r>
      </w:hyperlink>
      <w:r>
        <w:t xml:space="preserve"> (provenance).</w:t>
      </w:r>
    </w:p>
    <w:p>
      <w:pPr>
        <w:pStyle w:val="ListParagraph"/>
        <w:numPr>
          <w:ilvl w:val="0"/>
          <w:numId w:val="4"/>
        </w:numPr>
        <w:spacing w:after="100" w:line="276" w:lineRule="auto"/>
      </w:pPr>
      <w:hyperlink w:history="1" r:id="rIdf89lj9sugumdptqomriug">
        <w:r>
          <w:rPr>
            <w:rStyle w:val="Hyperlink"/>
          </w:rPr>
          <w:t xml:space="preserve">Part 1</w:t>
        </w:r>
      </w:hyperlink>
      <w:r>
        <w:t xml:space="preserve"> and </w:t>
      </w:r>
      <w:hyperlink w:history="1" r:id="rId3badysig_ubtncdx8konv">
        <w:r>
          <w:rPr>
            <w:rStyle w:val="Hyperlink"/>
          </w:rPr>
          <w:t xml:space="preserve">Part 2</w:t>
        </w:r>
      </w:hyperlink>
      <w:r>
        <w:t xml:space="preserve"> of this series, and </w:t>
      </w:r>
      <w:hyperlink w:history="1" r:id="rIda0a2sb2f0rhjsic-ufj1s">
        <w:r>
          <w:rPr>
            <w:rStyle w:val="Hyperlink"/>
          </w:rPr>
          <w:t xml:space="preserve">the first post</w:t>
        </w:r>
      </w:hyperlink>
      <w:r>
        <w:t xml:space="preserve">, which laid out the layer model.</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p>
      <w:pPr>
        <w:spacing w:after="160" w:line="276" w:lineRule="auto"/>
      </w:pPr>
      <w:r>
        <w:t xml:space="preserve">If anyone wants to collaborate on any phase of this, I am here: yobie AT ieee DOT org.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sdfldhio0ofwowgwqmba" Type="http://schemas.openxmlformats.org/officeDocument/2006/relationships/hyperlink" Target="https://github.com/YobieBenjamin/hardware-and-silicon/blob/main/blog/02-the-chip-that-says-no-1-plain-english.md" TargetMode="External"/><Relationship Id="rIdc0rj2c_cmai0c7n8koeuq" Type="http://schemas.openxmlformats.org/officeDocument/2006/relationships/hyperlink" Target="https://github.com/YobieBenjamin/hardware-and-silicon/blob/main/blog/03-the-chip-that-says-no-2-with-the-technical-detail.md" TargetMode="External"/><Relationship Id="rId-6tyfepqvfh10jcbprq6i" Type="http://schemas.openxmlformats.org/officeDocument/2006/relationships/hyperlink" Target="https://github.com/YobieBenjamin/hardware-and-silicon/blob/main/blog/01-a-multi-layer-approach-to-ai-safety.md" TargetMode="External"/><Relationship Id="rIdoiek5f3pxgz47lhcc7igq" Type="http://schemas.openxmlformats.org/officeDocument/2006/relationships/hyperlink" Target="https://github.com/YobieBenjamin/hardware-and-silicon" TargetMode="External"/><Relationship Id="rIdm_yh6nhr8kctphrxw9exl" Type="http://schemas.openxmlformats.org/officeDocument/2006/relationships/hyperlink" Target="https://github.com/YobieBenjamin/hardware-and-silicon/blob/main/hardware_ref/attest.py" TargetMode="External"/><Relationship Id="rIdykdtozvjlxjld8ggv17ja" Type="http://schemas.openxmlformats.org/officeDocument/2006/relationships/hyperlink" Target="https://github.com/YobieBenjamin/hardware-and-silicon/blob/main/hardware_ref/gate.py" TargetMode="External"/><Relationship Id="rId4kw67ervtdamgczbrhpaf" Type="http://schemas.openxmlformats.org/officeDocument/2006/relationships/hyperlink" Target="https://github.com/YobieBenjamin/hardware-and-silicon/blob/main/hardware_ref/ledger.py" TargetMode="External"/><Relationship Id="rId8ichy3c_h9honqafviljn" Type="http://schemas.openxmlformats.org/officeDocument/2006/relationships/hyperlink" Target="https://github.com/YobieBenjamin/hardware-and-silicon/blob/main/hardware_ref/endpoints.py" TargetMode="External"/><Relationship Id="rIdmnmy9sqaqiwxnnu7udkvb" Type="http://schemas.openxmlformats.org/officeDocument/2006/relationships/hyperlink" Target="https://github.com/YobieBenjamin/hardware-and-silicon/blob/main/hardware_ref/audit.py" TargetMode="External"/><Relationship Id="rId2ngh8pba9b3hsinztvyuc" Type="http://schemas.openxmlformats.org/officeDocument/2006/relationships/hyperlink" Target="https://github.com/YobieBenjamin/autonomic-graph-regulation" TargetMode="External"/><Relationship Id="rIddn8fvqzppnhewkptcbxyk" Type="http://schemas.openxmlformats.org/officeDocument/2006/relationships/hyperlink" Target="https://nvidianews.nvidia.com/news/open-agent-safety-platform" TargetMode="External"/><Relationship Id="rIdy20chkyyzoqu_xk1tcoer" Type="http://schemas.openxmlformats.org/officeDocument/2006/relationships/hyperlink" Target="https://github.com/YobieBenjamin/Watermark" TargetMode="External"/><Relationship Id="rIdyyrks7ghj9pzvyqd8z6ak" Type="http://schemas.openxmlformats.org/officeDocument/2006/relationships/hyperlink" Target="https://github.com/YobieBenjamin/hardware-and-silicon/blob/main/hardware_ref/root.py" TargetMode="External"/><Relationship Id="rIdikxi3brmcd9jx88nyf0tv" Type="http://schemas.openxmlformats.org/officeDocument/2006/relationships/hyperlink" Target="https://github.com/YobieBenjamin/hardware-and-silicon/blob/main/hardware_ref/endpoints.py" TargetMode="External"/><Relationship Id="rIdqmmtjodieaqfl6fooyt8a" Type="http://schemas.openxmlformats.org/officeDocument/2006/relationships/hyperlink" Target="https://github.com/YobieBenjamin/hardware-and-silicon/blob/main/hardware_ref/gate.py" TargetMode="External"/><Relationship Id="rIdw2ehpwiiq1anh-4xb2zh3" Type="http://schemas.openxmlformats.org/officeDocument/2006/relationships/hyperlink" Target="https://github.com/YobieBenjamin/hardware-and-silicon/blob/main/hardware_ref/ledger.py" TargetMode="External"/><Relationship Id="rIdtj18619ypfrl6dxmzmd5z" Type="http://schemas.openxmlformats.org/officeDocument/2006/relationships/hyperlink" Target="https://github.com/YobieBenjamin/hardware-and-silicon/blob/main/hardware_ref/attest.py" TargetMode="External"/><Relationship Id="rId3lcmujnninld-j7s4brvv" Type="http://schemas.openxmlformats.org/officeDocument/2006/relationships/hyperlink" Target="https://github.com/YobieBenjamin/hardware-and-silicon/blob/main/hardware_ref/gate.py" TargetMode="External"/><Relationship Id="rId8iv2jwjbtw-w3njssqixu" Type="http://schemas.openxmlformats.org/officeDocument/2006/relationships/hyperlink" Target="https://github.com/YobieBenjamin/hardware-and-silicon/blob/main/hardware_ref/assertions.py" TargetMode="External"/><Relationship Id="rIdubr0ke7smil3ha1d9come" Type="http://schemas.openxmlformats.org/officeDocument/2006/relationships/hyperlink" Target="https://github.com/YobieBenjamin/hardware-and-silicon/blob/main/hardware_ref/oasp.py" TargetMode="External"/><Relationship Id="rIdnq68osxb-pnamuo-mdnte" Type="http://schemas.openxmlformats.org/officeDocument/2006/relationships/hyperlink" Target="https://www.nvidia.com/en-us/networking/products/data-processing-unit/" TargetMode="External"/><Relationship Id="rIdqbvercgo0pkfalofjmdfh" Type="http://schemas.openxmlformats.org/officeDocument/2006/relationships/hyperlink" Target="https://developer.nvidia.com/networking/doca" TargetMode="External"/><Relationship Id="rIdyd3lkpjxwayexqq7qkyl3" Type="http://schemas.openxmlformats.org/officeDocument/2006/relationships/hyperlink" Target="https://developer.nvidia.com/blog/nvidia-open-agent-safety-platform-a-reference-for-continuous-in-silicon-agent-monitoring/" TargetMode="External"/><Relationship Id="rIddwaiom-dr2g9qdz-dzl1i" Type="http://schemas.openxmlformats.org/officeDocument/2006/relationships/hyperlink" Target="https://github.com/safetensors/safetensors" TargetMode="External"/><Relationship Id="rIdo3bln7ysvkbs2skb4ohii" Type="http://schemas.openxmlformats.org/officeDocument/2006/relationships/hyperlink" Target="https://github.com/vllm-project/vllm" TargetMode="External"/><Relationship Id="rIdqqabnl6kq5w2h5swpohs6" Type="http://schemas.openxmlformats.org/officeDocument/2006/relationships/hyperlink" Target="https://github.com/NVIDIA/TensorRT-LLM" TargetMode="External"/><Relationship Id="rIdku7aukifumlrs8qjqdeqo" Type="http://schemas.openxmlformats.org/officeDocument/2006/relationships/hyperlink" Target="https://github.com/sgl-project/sglang" TargetMode="External"/><Relationship Id="rIdem3fltuy5fbpxxyfe9n8q" Type="http://schemas.openxmlformats.org/officeDocument/2006/relationships/hyperlink" Target="https://github.com/NVIDIA/OpenShell" TargetMode="External"/><Relationship Id="rIdyhx2b0zjo1xm3ioqkram6" Type="http://schemas.openxmlformats.org/officeDocument/2006/relationships/hyperlink" Target="https://www.amd.com/en/developer/sev.html" TargetMode="External"/><Relationship Id="rIdakwkgdkjuepo9fpft1eqd" Type="http://schemas.openxmlformats.org/officeDocument/2006/relationships/hyperlink" Target="https://www.arm.com/architecture/security-features/arm-confidential-compute-architecture" TargetMode="External"/><Relationship Id="rIduqoatp3dz6ijvtntavojl" Type="http://schemas.openxmlformats.org/officeDocument/2006/relationships/hyperlink" Target="https://docs.nvidia.com/cuda/gpudirect-rdma/" TargetMode="External"/><Relationship Id="rId-gyip8d8wgdpf_nemqqja" Type="http://schemas.openxmlformats.org/officeDocument/2006/relationships/hyperlink" Target="https://docs.nvidia.com/gpudirect-storage/" TargetMode="External"/><Relationship Id="rIdhzn8wvpdnw79hsxs5kf-r" Type="http://schemas.openxmlformats.org/officeDocument/2006/relationships/hyperlink" Target="https://docs.nvidia.com/cuda/cuda-programming-guide/index.html" TargetMode="External"/><Relationship Id="rIdb7k_rbfxjroesun7tfxxi" Type="http://schemas.openxmlformats.org/officeDocument/2006/relationships/hyperlink" Target="https://github.com/YobieBenjamin/hardware-and-silicon/blob/main/hardware_ref/gate.py" TargetMode="External"/><Relationship Id="rIdy-ry0aucy-ociqzzoiayg" Type="http://schemas.openxmlformats.org/officeDocument/2006/relationships/hyperlink" Target="https://github.com/YobieBenjamin/hardware-and-silicon/blob/main/hardware_ref/ledger.py" TargetMode="External"/><Relationship Id="rIdph7xd3xq0vjaapwbmlacz" Type="http://schemas.openxmlformats.org/officeDocument/2006/relationships/hyperlink" Target="https://github.com/YobieBenjamin/hardware-and-silicon/blob/main/hardware_ref/endpoints.py" TargetMode="External"/><Relationship Id="rIdbraigpye9ag-7gcadi61t" Type="http://schemas.openxmlformats.org/officeDocument/2006/relationships/hyperlink" Target="https://github.com/YobieBenjamin/hardware-and-silicon/blob/main/hardware_ref/gate.py" TargetMode="External"/><Relationship Id="rId0oxkfcea9anlhd-eqjcwg" Type="http://schemas.openxmlformats.org/officeDocument/2006/relationships/hyperlink" Target="https://github.com/YobieBenjamin/hardware-and-silicon/blob/main/hardware_ref/attacks.py" TargetMode="External"/><Relationship Id="rIdpmbhaz8vwluy6_tlb6djy" Type="http://schemas.openxmlformats.org/officeDocument/2006/relationships/hyperlink" Target="https://github.com/YobieBenjamin/autonomic-graph-regulation" TargetMode="External"/><Relationship Id="rIdep5-ya1unztzn1exrskk9" Type="http://schemas.openxmlformats.org/officeDocument/2006/relationships/hyperlink" Target="https://nvidianews.nvidia.com/news/open-agent-safety-platform" TargetMode="External"/><Relationship Id="rIdrjjy1txedpo76neej6qg4" Type="http://schemas.openxmlformats.org/officeDocument/2006/relationships/hyperlink" Target="https://github.com/YobieBenjamin/Watermark" TargetMode="External"/><Relationship Id="rIdoewmvwmnc4oprrny0zpcp" Type="http://schemas.openxmlformats.org/officeDocument/2006/relationships/hyperlink" Target="https://trustedcomputinggroup.org/work-groups/dice-architectures/" TargetMode="External"/><Relationship Id="rIds1iclpuj4fgpgox4ninpr" Type="http://schemas.openxmlformats.org/officeDocument/2006/relationships/hyperlink" Target="https://github.com/YobieBenjamin/hardware-and-silicon/blob/main/hardware_ref/root.py" TargetMode="External"/><Relationship Id="rIdqk9si28e34ktmvks-6jfh" Type="http://schemas.openxmlformats.org/officeDocument/2006/relationships/hyperlink" Target="https://docs.nvidia.com/nvtrust/index.html" TargetMode="External"/><Relationship Id="rIdol9nxpvvagrfig2_netzc" Type="http://schemas.openxmlformats.org/officeDocument/2006/relationships/hyperlink" Target="https://docs.nvidia.com/attestation/index.html" TargetMode="External"/><Relationship Id="rId-w-ciw0bvn2k0wbxycg8q" Type="http://schemas.openxmlformats.org/officeDocument/2006/relationships/hyperlink" Target="https://docs.nvidia.com/nvidia-secure-ai-with-blackwell-and-hopper-gpus-whitepaper.pdf" TargetMode="External"/><Relationship Id="rIdnl4koe4oxjb7t6csr_dk2" Type="http://schemas.openxmlformats.org/officeDocument/2006/relationships/hyperlink" Target="https://developer.nvidia.com/blog/confidential-computing-on-h100-gpus-for-secure-and-trustworthy-ai/" TargetMode="External"/><Relationship Id="rIdicdbhoqmtw4xh7g4bc3ri" Type="http://schemas.openxmlformats.org/officeDocument/2006/relationships/hyperlink" Target="https://www.dmtf.org/standards/spdm" TargetMode="External"/><Relationship Id="rIdr8dnp10cv13x3h5adn-ww" Type="http://schemas.openxmlformats.org/officeDocument/2006/relationships/hyperlink" Target="https://sel4.systems/Verification/" TargetMode="External"/><Relationship Id="rIdkqf4mim2s2dwvb9rbxekz" Type="http://schemas.openxmlformats.org/officeDocument/2006/relationships/hyperlink" Target="https://www.synopsys.com/articles/tee-device-interface-secure-protocol.html" TargetMode="External"/><Relationship Id="rIdohrktcu5yg3xdknng4kwj" Type="http://schemas.openxmlformats.org/officeDocument/2006/relationships/hyperlink" Target="https://www.nvidia.com/en-us/networking/products/data-processing-unit/" TargetMode="External"/><Relationship Id="rIdeyknfq_hycuucbgx3zbqf" Type="http://schemas.openxmlformats.org/officeDocument/2006/relationships/hyperlink" Target="https://developer.nvidia.com/networking/doca" TargetMode="External"/><Relationship Id="rId08vlzycqyormee8aprhzh" Type="http://schemas.openxmlformats.org/officeDocument/2006/relationships/hyperlink" Target="https://docs.nvidia.com/gpudirect-storage/" TargetMode="External"/><Relationship Id="rIdnsactu0ngyffassmnvsgq" Type="http://schemas.openxmlformats.org/officeDocument/2006/relationships/hyperlink" Target="https://github.com/NVIDIA/OpenShell" TargetMode="External"/><Relationship Id="rIdmzcrbreicualstk0ntf0u" Type="http://schemas.openxmlformats.org/officeDocument/2006/relationships/hyperlink" Target="https://docs.kernel.org/userspace-api/landlock.html" TargetMode="External"/><Relationship Id="rIdaroti--wmf63ar7aibzvi" Type="http://schemas.openxmlformats.org/officeDocument/2006/relationships/hyperlink" Target="https://docs.nvidia.com/openshell/about/overview" TargetMode="External"/><Relationship Id="rIdbfq2cgsw3n_bvt4kpv_x2" Type="http://schemas.openxmlformats.org/officeDocument/2006/relationships/hyperlink" Target="https://github.com/YobieBenjamin/hardware-and-silicon/blob/main/hardware_ref/oasp.py" TargetMode="External"/><Relationship Id="rIddtokqsxmzxe7jbfddi_mu" Type="http://schemas.openxmlformats.org/officeDocument/2006/relationships/hyperlink" Target="https://github.com/YobieBenjamin/hardware-and-silicon/blob/main/hardware_ref/attacks.py" TargetMode="External"/><Relationship Id="rIdcooh5s-uk-ct9h1ixugnw" Type="http://schemas.openxmlformats.org/officeDocument/2006/relationships/hyperlink" Target="https://opentitan.org/" TargetMode="External"/><Relationship Id="rIddfgmsvkae_icfvexi7j02" Type="http://schemas.openxmlformats.org/officeDocument/2006/relationships/hyperlink" Target="https://learn.microsoft.com/en-us/windows/security/hardware-security/pluton/microsoft-pluton-security-processor" TargetMode="External"/><Relationship Id="rIdmlmterkbiahnezjtr7xjk" Type="http://schemas.openxmlformats.org/officeDocument/2006/relationships/hyperlink" Target="https://cloud.google.com/blog/products/identity-security/titan-in-depth-security-in-plaintext" TargetMode="External"/><Relationship Id="rIde-bvkf0edqqcpbspl_n7s" Type="http://schemas.openxmlformats.org/officeDocument/2006/relationships/hyperlink" Target="https://www.nvidia.com/en-us/data-center/solutions/confidential-computing/" TargetMode="External"/><Relationship Id="rId4gim6te_kyo-jfh-dolol" Type="http://schemas.openxmlformats.org/officeDocument/2006/relationships/hyperlink" Target="https://github.com/NVIDIA/nvtrust" TargetMode="External"/><Relationship Id="rIdinkjsjxyflp2jvb0kiubq" Type="http://schemas.openxmlformats.org/officeDocument/2006/relationships/hyperlink" Target="https://www.cnas.org/publications/reports/secure-governable-chips" TargetMode="External"/><Relationship Id="rIdva5eqzszly0qy1jvviswg" Type="http://schemas.openxmlformats.org/officeDocument/2006/relationships/hyperlink" Target="https://arxiv.org/abs/2506.15093" TargetMode="External"/><Relationship Id="rIdoyyxq5f80jo2ijp6xe2l9" Type="http://schemas.openxmlformats.org/officeDocument/2006/relationships/hyperlink" Target="https://github.com/NVIDIA/OpenShell" TargetMode="External"/><Relationship Id="rIdeofod_1qjzj4bqt-yyez3" Type="http://schemas.openxmlformats.org/officeDocument/2006/relationships/hyperlink" Target="https://github.com/YobieBenjamin/hardware-and-silicon/blob/main/hardware_ref/oasp.py" TargetMode="External"/><Relationship Id="rId0xmhdsiog3a8qcudusory" Type="http://schemas.openxmlformats.org/officeDocument/2006/relationships/hyperlink" Target="https://github.com/YobieBenjamin/hardware-and-silicon/blob/main/hardware_ref/gate.py" TargetMode="External"/><Relationship Id="rId4653zpjyqid_nmvs1smgf" Type="http://schemas.openxmlformats.org/officeDocument/2006/relationships/hyperlink" Target="https://github.com/YobieBenjamin/hardware-and-silicon/blob/main/hardware_ref/ledger.py" TargetMode="External"/><Relationship Id="rIda5w6ccobdvzna1mt0dlq-" Type="http://schemas.openxmlformats.org/officeDocument/2006/relationships/hyperlink" Target="https://github.com/YobieBenjamin/hardware-and-silicon/blob/main/hardware_ref/endpoints.py" TargetMode="External"/><Relationship Id="rIdv5pva_t7irja95nbvfndg" Type="http://schemas.openxmlformats.org/officeDocument/2006/relationships/hyperlink" Target="https://github.com/YobieBenjamin/hardware-and-silicon/blob/main/hardware_ref/attest.py" TargetMode="External"/><Relationship Id="rIddz_9vu0tvbh5kaeup5stc" Type="http://schemas.openxmlformats.org/officeDocument/2006/relationships/hyperlink" Target="https://github.com/YobieBenjamin/autonomic-graph-regulation" TargetMode="External"/><Relationship Id="rIdlrlcxlym3e32xqefrr0vj" Type="http://schemas.openxmlformats.org/officeDocument/2006/relationships/hyperlink" Target="https://nvidianews.nvidia.com/news/open-agent-safety-platform" TargetMode="External"/><Relationship Id="rIdkzj8c9tjvclhagkrgnong" Type="http://schemas.openxmlformats.org/officeDocument/2006/relationships/hyperlink" Target="https://github.com/YobieBenjamin/Watermark" TargetMode="External"/><Relationship Id="rIdkjpi-qonphmvxf918u98g" Type="http://schemas.openxmlformats.org/officeDocument/2006/relationships/hyperlink" Target="https://github.com/YobieBenjamin/hardware-and-silicon/blob/main/hardware_ref/gate.py" TargetMode="External"/><Relationship Id="rIdlj7nis5mpihojk_ctfg2y" Type="http://schemas.openxmlformats.org/officeDocument/2006/relationships/hyperlink" Target="https://csrc.nist.gov/files/pubs/conference/1998/10/08/proceedings-of-the-21st-nissc-1998/final/docs/early-cs-papers/ande72.pdf" TargetMode="External"/><Relationship Id="rIdyv77lw9fhgjzpgaekkkmz" Type="http://schemas.openxmlformats.org/officeDocument/2006/relationships/hyperlink" Target="https://sel4.systems/Verification/" TargetMode="External"/><Relationship Id="rId1v3yn3phgcu7ldxhww1vv" Type="http://schemas.openxmlformats.org/officeDocument/2006/relationships/hyperlink" Target="https://webstore.iec.ch/en/publication/5515" TargetMode="External"/><Relationship Id="rIdcdilq9lxrw2ajtst2urjt" Type="http://schemas.openxmlformats.org/officeDocument/2006/relationships/hyperlink" Target="https://webstore.iec.ch/en/publication/5527" TargetMode="External"/><Relationship Id="rId7onxisyh9u8vzcgwjxhzq" Type="http://schemas.openxmlformats.org/officeDocument/2006/relationships/hyperlink" Target="https://arxiv.org/abs/2405.06624" TargetMode="External"/><Relationship Id="rIdat5s2uufeng5vqmqtomqn" Type="http://schemas.openxmlformats.org/officeDocument/2006/relationships/hyperlink" Target="https://www.cnas.org/publications/reports/secure-governable-chips" TargetMode="External"/><Relationship Id="rIdlbvcmzwyt41u7niqr7vod" Type="http://schemas.openxmlformats.org/officeDocument/2006/relationships/hyperlink" Target="https://arxiv.org/abs/2506.15093" TargetMode="External"/><Relationship Id="rIdrastbvio0fuwpukbiwqbx" Type="http://schemas.openxmlformats.org/officeDocument/2006/relationships/hyperlink" Target="https://docs.nvidia.com/nvidia-secure-ai-with-blackwell-and-hopper-gpus-whitepaper.pdf" TargetMode="External"/><Relationship Id="rId6zif9wpjlnxfztd-z63y8" Type="http://schemas.openxmlformats.org/officeDocument/2006/relationships/hyperlink" Target="https://developer.nvidia.com/blog/confidential-computing-on-h100-gpus-for-secure-and-trustworthy-ai/" TargetMode="External"/><Relationship Id="rIdkxwzkj7iqzb2wlmra3ano" Type="http://schemas.openxmlformats.org/officeDocument/2006/relationships/hyperlink" Target="https://docs.nvidia.com/nvtrust/index.html" TargetMode="External"/><Relationship Id="rIdvquej_byzy9oz-lqtraaa" Type="http://schemas.openxmlformats.org/officeDocument/2006/relationships/hyperlink" Target="https://docs.nvidia.com/attestation/index.html" TargetMode="External"/><Relationship Id="rIdma7m-_locweltff4dh3al" Type="http://schemas.openxmlformats.org/officeDocument/2006/relationships/hyperlink" Target="https://github.com/NVIDIA/nvtrust" TargetMode="External"/><Relationship Id="rId-s4exrlorvztoo_x_8vay" Type="http://schemas.openxmlformats.org/officeDocument/2006/relationships/hyperlink" Target="https://docs.nvidia.com/cuda/cuda-programming-guide/index.html" TargetMode="External"/><Relationship Id="rIdwd7_dnthk89ghfin6f72c" Type="http://schemas.openxmlformats.org/officeDocument/2006/relationships/hyperlink" Target="https://docs.nvidia.com/cuda/gpudirect-rdma/" TargetMode="External"/><Relationship Id="rId74rs5qa5crkoxuw26djxa" Type="http://schemas.openxmlformats.org/officeDocument/2006/relationships/hyperlink" Target="https://docs.nvidia.com/gpudirect-storage/" TargetMode="External"/><Relationship Id="rIdzi7z0xgebgng130vxyoag" Type="http://schemas.openxmlformats.org/officeDocument/2006/relationships/hyperlink" Target="https://nvidianews.nvidia.com/news/open-agent-safety-platform" TargetMode="External"/><Relationship Id="rIdschk4ev2vpuzbewfcdz52" Type="http://schemas.openxmlformats.org/officeDocument/2006/relationships/hyperlink" Target="https://developer.nvidia.com/blog/nvidia-open-agent-safety-platform-a-reference-for-continuous-in-silicon-agent-monitoring/" TargetMode="External"/><Relationship Id="rIds9hhukfmldmztxvv_aoje" Type="http://schemas.openxmlformats.org/officeDocument/2006/relationships/hyperlink" Target="https://developer.nvidia.com/blog/add-runtime-controls-to-ai-agents-with-nvidia-openshell" TargetMode="External"/><Relationship Id="rIdzrse3jqql0hk6glb8cz41" Type="http://schemas.openxmlformats.org/officeDocument/2006/relationships/hyperlink" Target="https://github.com/NVIDIA/OpenShell" TargetMode="External"/><Relationship Id="rIdnmd7-njox0u_fzfgzxixa" Type="http://schemas.openxmlformats.org/officeDocument/2006/relationships/hyperlink" Target="https://docs.nvidia.com/openshell/about/overview" TargetMode="External"/><Relationship Id="rIdnxwe26krrexwdrzw9iurz" Type="http://schemas.openxmlformats.org/officeDocument/2006/relationships/hyperlink" Target="https://www.nvidia.com/en-us/networking/products/data-processing-unit/" TargetMode="External"/><Relationship Id="rIdjwfccoodr-h4uidchoba8" Type="http://schemas.openxmlformats.org/officeDocument/2006/relationships/hyperlink" Target="https://developer.nvidia.com/networking/doca" TargetMode="External"/><Relationship Id="rIdsy4ugy9xikqd8avjwqvtj" Type="http://schemas.openxmlformats.org/officeDocument/2006/relationships/hyperlink" Target="https://resources.nvidia.com/en-us-blackwell-architecture" TargetMode="External"/><Relationship Id="rIdyqetvyb3hohu72qxaik8w" Type="http://schemas.openxmlformats.org/officeDocument/2006/relationships/hyperlink" Target="https://www.rfc-editor.org/info/rfc9334/" TargetMode="External"/><Relationship Id="rIdfuc6m5gxltfqq3nqbbup4" Type="http://schemas.openxmlformats.org/officeDocument/2006/relationships/hyperlink" Target="https://www.rfc-editor.org/info/rfc6962/" TargetMode="External"/><Relationship Id="rIdruh--axp3ybjtv5or4a8u" Type="http://schemas.openxmlformats.org/officeDocument/2006/relationships/hyperlink" Target="https://trustedcomputinggroup.org/work-groups/dice-architectures/" TargetMode="External"/><Relationship Id="rIdyrkpef99gd0e-jpfiwhhh" Type="http://schemas.openxmlformats.org/officeDocument/2006/relationships/hyperlink" Target="https://www.dmtf.org/standards/spdm" TargetMode="External"/><Relationship Id="rIdthivzww3bvpnmwh3l8qj9" Type="http://schemas.openxmlformats.org/officeDocument/2006/relationships/hyperlink" Target="https://www.synopsys.com/articles/tee-device-interface-secure-protocol.html" TargetMode="External"/><Relationship Id="rIdl56npo4zoi3jqee9ccgce" Type="http://schemas.openxmlformats.org/officeDocument/2006/relationships/hyperlink" Target="https://docs.kernel.org/userspace-api/landlock.html" TargetMode="External"/><Relationship Id="rId9po-lbfew7hstn1jp9uch" Type="http://schemas.openxmlformats.org/officeDocument/2006/relationships/hyperlink" Target="https://opentitan.org/" TargetMode="External"/><Relationship Id="rIdt-m0pass92l_wbxba3uxp" Type="http://schemas.openxmlformats.org/officeDocument/2006/relationships/hyperlink" Target="https://learn.microsoft.com/en-us/windows/security/hardware-security/pluton/microsoft-pluton-security-processor" TargetMode="External"/><Relationship Id="rIdnxyhmwvfe_2knxdz4w2o0" Type="http://schemas.openxmlformats.org/officeDocument/2006/relationships/hyperlink" Target="https://cloud.google.com/blog/products/identity-security/titan-in-depth-security-in-plaintext" TargetMode="External"/><Relationship Id="rIdq_fry8b01vqvssuix-3ko" Type="http://schemas.openxmlformats.org/officeDocument/2006/relationships/hyperlink" Target="https://github.com/YobieBenjamin/hardware-and-silicon/blob/main/docs/CHIP_DESIGN.md" TargetMode="External"/><Relationship Id="rIdwmgci411u6gsxnxoaoinx" Type="http://schemas.openxmlformats.org/officeDocument/2006/relationships/hyperlink" Target="https://github.com/YobieBenjamin/hardware-and-silicon/blob/main/docs/PROTOTYPING.md" TargetMode="External"/><Relationship Id="rIdw0ggp1mcrvd1aadbp7njw" Type="http://schemas.openxmlformats.org/officeDocument/2006/relationships/hyperlink" Target="https://github.com/YobieBenjamin/hardware-and-silicon/blob/main/docs/REVIEW-2026-10.md" TargetMode="External"/><Relationship Id="rIdkjjbs1fvdgot1_tlqak9t" Type="http://schemas.openxmlformats.org/officeDocument/2006/relationships/hyperlink" Target="https://github.com/YobieBenjamin/autonomic-graph-regulation" TargetMode="External"/><Relationship Id="rId0x1pjkw04r9a_tj16q-kq" Type="http://schemas.openxmlformats.org/officeDocument/2006/relationships/hyperlink" Target="https://github.com/YobieBenjamin/Watermark" TargetMode="External"/><Relationship Id="rIdf89lj9sugumdptqomriug" Type="http://schemas.openxmlformats.org/officeDocument/2006/relationships/hyperlink" Target="https://github.com/YobieBenjamin/hardware-and-silicon/blob/main/blog/02-the-chip-that-says-no-1-plain-english.md" TargetMode="External"/><Relationship Id="rId3badysig_ubtncdx8konv" Type="http://schemas.openxmlformats.org/officeDocument/2006/relationships/hyperlink" Target="https://github.com/YobieBenjamin/hardware-and-silicon/blob/main/blog/03-the-chip-that-says-no-2-with-the-technical-detail.md" TargetMode="External"/><Relationship Id="rIda0a2sb2f0rhjsic-ufj1s" Type="http://schemas.openxmlformats.org/officeDocument/2006/relationships/hyperlink" Target="https://github.com/YobieBenjamin/hardware-and-silicon/blob/main/blog/01-a-multi-layer-approach-to-ai-safety.md"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12" Type="http://schemas.openxmlformats.org/officeDocument/2006/relationships/image" Target="media/6eadcf89bb46a227a60703073a5c8c67bfb06401.png"/><Relationship Id="rId13" Type="http://schemas.openxmlformats.org/officeDocument/2006/relationships/image" Target="media/5a9a9a5ab13127c7d0c609ba695444680a4363b2.png"/><Relationship Id="rId14" Type="http://schemas.openxmlformats.org/officeDocument/2006/relationships/image" Target="media/89c5e37ce32cc61cc08bbd647a79898f4ffcd557.png"/><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3</dc:title>
  <dc:creator>Yobie Benjamin</dc:creator>
  <cp:lastModifiedBy>Un-named</cp:lastModifiedBy>
  <cp:revision>1</cp:revision>
  <dcterms:created xsi:type="dcterms:W3CDTF">2026-10-13T00:00:14.826Z</dcterms:created>
  <dcterms:modified xsi:type="dcterms:W3CDTF">2026-10-13T00:00:14.826Z</dcterms:modified>
</cp:coreProperties>
</file>

<file path=docProps/custom.xml><?xml version="1.0" encoding="utf-8"?>
<Properties xmlns="http://schemas.openxmlformats.org/officeDocument/2006/custom-properties" xmlns:vt="http://schemas.openxmlformats.org/officeDocument/2006/docPropsVTypes"/>
</file>