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A27C6C" w14:textId="77777777" w:rsidR="00946BED" w:rsidRDefault="00946BED">
      <w:pPr>
        <w:pStyle w:val="Title"/>
      </w:pPr>
    </w:p>
    <w:p w14:paraId="38F1E31A" w14:textId="6CB7A0D8" w:rsidR="001225BB" w:rsidRDefault="00000000">
      <w:pPr>
        <w:pStyle w:val="Title"/>
      </w:pPr>
      <w:r>
        <w:t>ASPIRATION</w:t>
      </w:r>
    </w:p>
    <w:p w14:paraId="32A22068" w14:textId="77777777" w:rsidR="001225BB" w:rsidRDefault="00000000">
      <w:pPr>
        <w:pStyle w:val="Subtitle"/>
      </w:pPr>
      <w:r>
        <w:t>An independent hardware boundary for AI actions</w:t>
      </w:r>
    </w:p>
    <w:p w14:paraId="10C205F5" w14:textId="77777777" w:rsidR="001225BB" w:rsidRDefault="00000000">
      <w:pPr>
        <w:spacing w:after="260"/>
      </w:pPr>
      <w:r>
        <w:rPr>
          <w:sz w:val="18"/>
        </w:rPr>
        <w:t>Working draft  •  23 October 2026</w:t>
      </w:r>
    </w:p>
    <w:p w14:paraId="7E6B491D" w14:textId="77777777" w:rsidR="001225BB" w:rsidRDefault="00000000">
      <w:pPr>
        <w:pStyle w:val="Heading1"/>
      </w:pPr>
      <w:r>
        <w:t>The layers of safety</w:t>
      </w:r>
    </w:p>
    <w:p w14:paraId="74E0D7D1" w14:textId="77777777" w:rsidR="001225BB" w:rsidRDefault="00000000">
      <w:r>
        <w:t>Everyone is talking about AI safety. Training, evaluations, classifiers, guardrails, monitoring, another model checking the first model. Some of this work is useful. But a list of safety techniques still leaves a hard question: who can make a refusal stick when the machine is about to do something it is not authorized to do?</w:t>
      </w:r>
    </w:p>
    <w:p w14:paraId="70C4578C" w14:textId="77777777" w:rsidR="001225BB" w:rsidRDefault="00000000">
      <w:r>
        <w:t>We start with the layers because our chip has a specific job within them. It cannot replace the people who establish policy or the work of deciding which behavior is dangerous. It should make specified authorization rules compulsory at the point where an action becomes an effect. The layers below are our design framework, consistent with treating AI risk across the system lifecycle.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A0" w:firstRow="1" w:lastRow="0" w:firstColumn="1" w:lastColumn="0" w:noHBand="0" w:noVBand="1"/>
      </w:tblPr>
      <w:tblGrid>
        <w:gridCol w:w="2347"/>
        <w:gridCol w:w="7589"/>
      </w:tblGrid>
      <w:tr w:rsidR="001225BB" w14:paraId="35E7349C" w14:textId="77777777">
        <w:trPr>
          <w:cantSplit/>
          <w:tblHeader/>
          <w:jc w:val="center"/>
        </w:trPr>
        <w:tc>
          <w:tcPr>
            <w:tcW w:w="2347" w:type="dxa"/>
            <w:shd w:val="clear" w:color="auto" w:fill="343F48"/>
            <w:vAlign w:val="center"/>
          </w:tcPr>
          <w:p w14:paraId="375F81FB" w14:textId="77777777" w:rsidR="001225BB" w:rsidRDefault="00000000">
            <w:pPr>
              <w:spacing w:after="20" w:line="245" w:lineRule="auto"/>
            </w:pPr>
            <w:r>
              <w:rPr>
                <w:b/>
                <w:color w:val="FFFFFF"/>
                <w:sz w:val="20"/>
              </w:rPr>
              <w:t>Layer</w:t>
            </w:r>
          </w:p>
        </w:tc>
        <w:tc>
          <w:tcPr>
            <w:tcW w:w="7589" w:type="dxa"/>
            <w:shd w:val="clear" w:color="auto" w:fill="343F48"/>
            <w:vAlign w:val="center"/>
          </w:tcPr>
          <w:p w14:paraId="660A5837" w14:textId="77777777" w:rsidR="001225BB" w:rsidRDefault="00000000">
            <w:pPr>
              <w:spacing w:after="20" w:line="245" w:lineRule="auto"/>
            </w:pPr>
            <w:r>
              <w:rPr>
                <w:b/>
                <w:color w:val="FFFFFF"/>
                <w:sz w:val="20"/>
              </w:rPr>
              <w:t>What it contributes and what remains</w:t>
            </w:r>
          </w:p>
        </w:tc>
      </w:tr>
      <w:tr w:rsidR="001225BB" w14:paraId="1D806E44" w14:textId="77777777">
        <w:trPr>
          <w:cantSplit/>
          <w:jc w:val="center"/>
        </w:trPr>
        <w:tc>
          <w:tcPr>
            <w:tcW w:w="2347" w:type="dxa"/>
            <w:shd w:val="clear" w:color="auto" w:fill="FFFFFF"/>
            <w:vAlign w:val="center"/>
          </w:tcPr>
          <w:p w14:paraId="01DA1D77" w14:textId="77777777" w:rsidR="001225BB" w:rsidRDefault="00000000">
            <w:pPr>
              <w:spacing w:after="20" w:line="245" w:lineRule="auto"/>
            </w:pPr>
            <w:r>
              <w:rPr>
                <w:b/>
                <w:sz w:val="20"/>
              </w:rPr>
              <w:t>1  People and authority</w:t>
            </w:r>
          </w:p>
        </w:tc>
        <w:tc>
          <w:tcPr>
            <w:tcW w:w="7589" w:type="dxa"/>
            <w:shd w:val="clear" w:color="auto" w:fill="FFFFFF"/>
            <w:vAlign w:val="center"/>
          </w:tcPr>
          <w:p w14:paraId="27A91B13" w14:textId="77777777" w:rsidR="001225BB" w:rsidRDefault="00000000">
            <w:pPr>
              <w:spacing w:after="20" w:line="245" w:lineRule="auto"/>
            </w:pPr>
            <w:r>
              <w:rPr>
                <w:sz w:val="20"/>
              </w:rPr>
              <w:t>People establish policy, hold keys, approve exceptions and revoke authority. The remaining question is whether those people and policies deserve the trust placed in them.</w:t>
            </w:r>
          </w:p>
        </w:tc>
      </w:tr>
      <w:tr w:rsidR="001225BB" w14:paraId="0B95BC07" w14:textId="77777777">
        <w:trPr>
          <w:cantSplit/>
          <w:jc w:val="center"/>
        </w:trPr>
        <w:tc>
          <w:tcPr>
            <w:tcW w:w="2347" w:type="dxa"/>
            <w:shd w:val="clear" w:color="auto" w:fill="F5F6F7"/>
            <w:vAlign w:val="center"/>
          </w:tcPr>
          <w:p w14:paraId="6312E052" w14:textId="77777777" w:rsidR="001225BB" w:rsidRDefault="00000000">
            <w:pPr>
              <w:spacing w:after="20" w:line="245" w:lineRule="auto"/>
            </w:pPr>
            <w:r>
              <w:rPr>
                <w:b/>
                <w:sz w:val="20"/>
              </w:rPr>
              <w:t>2  Model training</w:t>
            </w:r>
          </w:p>
        </w:tc>
        <w:tc>
          <w:tcPr>
            <w:tcW w:w="7589" w:type="dxa"/>
            <w:shd w:val="clear" w:color="auto" w:fill="F5F6F7"/>
            <w:vAlign w:val="center"/>
          </w:tcPr>
          <w:p w14:paraId="66349DC7" w14:textId="77777777" w:rsidR="001225BB" w:rsidRDefault="00000000">
            <w:pPr>
              <w:spacing w:after="20" w:line="245" w:lineRule="auto"/>
            </w:pPr>
            <w:r>
              <w:rPr>
                <w:sz w:val="20"/>
              </w:rPr>
              <w:t>Training aims to reduce dangerous behavior at its source. We still need a response when a model makes a mistake, encounters unfamiliar conditions or produces behavior its training did not prevent.</w:t>
            </w:r>
          </w:p>
        </w:tc>
      </w:tr>
      <w:tr w:rsidR="001225BB" w14:paraId="180F27EC" w14:textId="77777777">
        <w:trPr>
          <w:cantSplit/>
          <w:jc w:val="center"/>
        </w:trPr>
        <w:tc>
          <w:tcPr>
            <w:tcW w:w="2347" w:type="dxa"/>
            <w:shd w:val="clear" w:color="auto" w:fill="FFFFFF"/>
            <w:vAlign w:val="center"/>
          </w:tcPr>
          <w:p w14:paraId="0A5B1F21" w14:textId="77777777" w:rsidR="001225BB" w:rsidRDefault="00000000">
            <w:pPr>
              <w:spacing w:after="20" w:line="245" w:lineRule="auto"/>
            </w:pPr>
            <w:r>
              <w:rPr>
                <w:b/>
                <w:sz w:val="20"/>
              </w:rPr>
              <w:t>3  Evaluation</w:t>
            </w:r>
          </w:p>
        </w:tc>
        <w:tc>
          <w:tcPr>
            <w:tcW w:w="7589" w:type="dxa"/>
            <w:shd w:val="clear" w:color="auto" w:fill="FFFFFF"/>
            <w:vAlign w:val="center"/>
          </w:tcPr>
          <w:p w14:paraId="64C5EC82" w14:textId="77777777" w:rsidR="001225BB" w:rsidRDefault="00000000">
            <w:pPr>
              <w:spacing w:after="20" w:line="245" w:lineRule="auto"/>
            </w:pPr>
            <w:r>
              <w:rPr>
                <w:sz w:val="20"/>
              </w:rPr>
              <w:t>Testing and red teaming expose failures before deployment. Passing a test supplies evidence about that test; it does not settle behavior under every future workload or attack.</w:t>
            </w:r>
          </w:p>
        </w:tc>
      </w:tr>
      <w:tr w:rsidR="001225BB" w14:paraId="5EBC66C6" w14:textId="77777777">
        <w:trPr>
          <w:cantSplit/>
          <w:jc w:val="center"/>
        </w:trPr>
        <w:tc>
          <w:tcPr>
            <w:tcW w:w="2347" w:type="dxa"/>
            <w:shd w:val="clear" w:color="auto" w:fill="F5F6F7"/>
            <w:vAlign w:val="center"/>
          </w:tcPr>
          <w:p w14:paraId="187B4368" w14:textId="77777777" w:rsidR="001225BB" w:rsidRDefault="00000000">
            <w:pPr>
              <w:spacing w:after="20" w:line="245" w:lineRule="auto"/>
            </w:pPr>
            <w:r>
              <w:rPr>
                <w:b/>
                <w:sz w:val="20"/>
              </w:rPr>
              <w:t>4  Runtime detection</w:t>
            </w:r>
          </w:p>
        </w:tc>
        <w:tc>
          <w:tcPr>
            <w:tcW w:w="7589" w:type="dxa"/>
            <w:shd w:val="clear" w:color="auto" w:fill="F5F6F7"/>
            <w:vAlign w:val="center"/>
          </w:tcPr>
          <w:p w14:paraId="4BD5A8E0" w14:textId="77777777" w:rsidR="001225BB" w:rsidRDefault="00000000">
            <w:pPr>
              <w:spacing w:after="20" w:line="245" w:lineRule="auto"/>
            </w:pPr>
            <w:r>
              <w:rPr>
                <w:sz w:val="20"/>
              </w:rPr>
              <w:t>Classifiers, monitors and AI observers supply risk signals. They can miss danger, raise false alarms or share the same blind spot. Their judgments need an enforcement path.</w:t>
            </w:r>
          </w:p>
        </w:tc>
      </w:tr>
      <w:tr w:rsidR="001225BB" w14:paraId="50B77217" w14:textId="77777777">
        <w:trPr>
          <w:cantSplit/>
          <w:jc w:val="center"/>
        </w:trPr>
        <w:tc>
          <w:tcPr>
            <w:tcW w:w="2347" w:type="dxa"/>
            <w:shd w:val="clear" w:color="auto" w:fill="FFFFFF"/>
            <w:vAlign w:val="center"/>
          </w:tcPr>
          <w:p w14:paraId="7CBFAC1E" w14:textId="77777777" w:rsidR="001225BB" w:rsidRDefault="00000000">
            <w:pPr>
              <w:spacing w:after="20" w:line="245" w:lineRule="auto"/>
            </w:pPr>
            <w:r>
              <w:rPr>
                <w:b/>
                <w:sz w:val="20"/>
              </w:rPr>
              <w:t>5  Software and human decisions</w:t>
            </w:r>
          </w:p>
        </w:tc>
        <w:tc>
          <w:tcPr>
            <w:tcW w:w="7589" w:type="dxa"/>
            <w:shd w:val="clear" w:color="auto" w:fill="FFFFFF"/>
            <w:vAlign w:val="center"/>
          </w:tcPr>
          <w:p w14:paraId="603AF435" w14:textId="77777777" w:rsidR="001225BB" w:rsidRDefault="00000000">
            <w:pPr>
              <w:spacing w:after="20" w:line="245" w:lineRule="auto"/>
            </w:pPr>
            <w:r>
              <w:rPr>
                <w:sz w:val="20"/>
              </w:rPr>
              <w:t>Permissions, restricted credentials, tool gateways and approvals constrain actions. We must establish whether privileged software can bypass the gate, reuse permission or reach another endpoint.</w:t>
            </w:r>
          </w:p>
        </w:tc>
      </w:tr>
      <w:tr w:rsidR="001225BB" w14:paraId="6D41AF2D" w14:textId="77777777">
        <w:trPr>
          <w:cantSplit/>
          <w:jc w:val="center"/>
        </w:trPr>
        <w:tc>
          <w:tcPr>
            <w:tcW w:w="2347" w:type="dxa"/>
            <w:shd w:val="clear" w:color="auto" w:fill="F5F6F7"/>
            <w:vAlign w:val="center"/>
          </w:tcPr>
          <w:p w14:paraId="28A0B838" w14:textId="77777777" w:rsidR="001225BB" w:rsidRDefault="00000000">
            <w:pPr>
              <w:spacing w:after="20" w:line="245" w:lineRule="auto"/>
            </w:pPr>
            <w:r>
              <w:rPr>
                <w:b/>
                <w:sz w:val="20"/>
              </w:rPr>
              <w:t>6  Independent hardware enforcement</w:t>
            </w:r>
          </w:p>
        </w:tc>
        <w:tc>
          <w:tcPr>
            <w:tcW w:w="7589" w:type="dxa"/>
            <w:shd w:val="clear" w:color="auto" w:fill="F5F6F7"/>
            <w:vAlign w:val="center"/>
          </w:tcPr>
          <w:p w14:paraId="38C80A58" w14:textId="77777777" w:rsidR="001225BB" w:rsidRDefault="00000000">
            <w:pPr>
              <w:spacing w:after="20" w:line="245" w:lineRule="auto"/>
            </w:pPr>
            <w:r>
              <w:rPr>
                <w:sz w:val="20"/>
              </w:rPr>
              <w:t>The proposed Safety Governor checks current authority for an exact protected effect. The endpoint or platform must honor its refusal, including during hostile host behavior, resets and loss of the governor.</w:t>
            </w:r>
          </w:p>
        </w:tc>
      </w:tr>
    </w:tbl>
    <w:p w14:paraId="0BEA500E" w14:textId="77777777" w:rsidR="001225BB" w:rsidRDefault="001225BB">
      <w:pPr>
        <w:spacing w:after="0"/>
      </w:pPr>
    </w:p>
    <w:p w14:paraId="370DE28F" w14:textId="77777777" w:rsidR="001225BB" w:rsidRDefault="00000000">
      <w:pPr>
        <w:spacing w:after="0"/>
      </w:pPr>
      <w:r>
        <w:rPr>
          <w:b/>
        </w:rPr>
        <w:t>AI can help identify risk. We will not rely on an AI’s judgment as the sole final enforcement boundary. The sixth layer checks before the protected effect occurs. It is not an excuse to pull the plug after the damage.</w:t>
      </w:r>
    </w:p>
    <w:p w14:paraId="2AB947A4" w14:textId="77777777" w:rsidR="001225BB" w:rsidRDefault="00000000">
      <w:r>
        <w:br w:type="page"/>
      </w:r>
    </w:p>
    <w:p w14:paraId="20FE2131" w14:textId="77777777" w:rsidR="001225BB" w:rsidRDefault="00000000">
      <w:pPr>
        <w:pStyle w:val="Heading1"/>
      </w:pPr>
      <w:r>
        <w:lastRenderedPageBreak/>
        <w:t>What the Safety Governor would do</w:t>
      </w:r>
    </w:p>
    <w:p w14:paraId="504C1AA2" w14:textId="77777777" w:rsidR="001225BB" w:rsidRDefault="00000000">
      <w:r>
        <w:t>Our destination is a Safety Governor chip on an add-on module inside a selected NVIDIA-powered server, potentially a Supermicro platform. We want an independently governed component that can refuse a precisely defined action even when the AI host is compromised. This is the intended product property. This draft does not claim that our current code or hardware already establishes it. [6, 7]</w:t>
      </w:r>
    </w:p>
    <w:p w14:paraId="12A69DC8" w14:textId="77777777" w:rsidR="001225BB" w:rsidRDefault="00000000">
      <w:pPr>
        <w:pStyle w:val="Heading2"/>
      </w:pPr>
      <w:r>
        <w:t>Authorize an exact effect</w:t>
      </w:r>
    </w:p>
    <w:p w14:paraId="1CFFCED6" w14:textId="77777777" w:rsidR="001225BB" w:rsidRDefault="00000000">
      <w:r>
        <w:t>Before the protected endpoint commits an action, the governor would establish that the action possesses the authority required by the current rules. A valid signature is one input to that decision. It is not the whole decision. The authorization contract must bind:</w:t>
      </w:r>
    </w:p>
    <w:p w14:paraId="1CAE9EAB" w14:textId="77777777" w:rsidR="001225BB" w:rsidRDefault="00000000">
      <w:pPr>
        <w:pStyle w:val="ListBullet"/>
        <w:spacing w:after="80" w:line="247" w:lineRule="auto"/>
      </w:pPr>
      <w:r>
        <w:t>The complete canonical action and its parameters, including the recipient, resource or destination that gives the action its meaning.</w:t>
      </w:r>
    </w:p>
    <w:p w14:paraId="7209BF10" w14:textId="77777777" w:rsidR="001225BB" w:rsidRDefault="00000000">
      <w:pPr>
        <w:pStyle w:val="ListBullet"/>
        <w:spacing w:after="80" w:line="247" w:lineRule="auto"/>
      </w:pPr>
      <w:r>
        <w:t>The subject, tenant, session, endpoint and unique ticket identity, so permission cannot migrate to a different actor or context.</w:t>
      </w:r>
    </w:p>
    <w:p w14:paraId="7AF3CACF" w14:textId="77777777" w:rsidR="001225BB" w:rsidRDefault="00000000">
      <w:pPr>
        <w:pStyle w:val="ListBullet"/>
        <w:spacing w:after="80" w:line="247" w:lineRule="auto"/>
      </w:pPr>
      <w:r>
        <w:t>Current policy, registry, revocation and boot generations, together with explicit expiry and freshness rules.</w:t>
      </w:r>
    </w:p>
    <w:p w14:paraId="75B86D18" w14:textId="77777777" w:rsidR="001225BB" w:rsidRDefault="00000000">
      <w:pPr>
        <w:pStyle w:val="ListBullet"/>
        <w:spacing w:after="80" w:line="247" w:lineRule="auto"/>
      </w:pPr>
      <w:r>
        <w:t>Every separately required approval, plus an atomic budget reservation and single-use consumption record where the policy requires them.</w:t>
      </w:r>
    </w:p>
    <w:p w14:paraId="3F3E2256" w14:textId="77777777" w:rsidR="001225BB" w:rsidRDefault="00000000">
      <w:r>
        <w:t>The endpoint must execute the authorized action without silently substituting a different one. A log or signature produced after execution cannot provide the missing prior permission.</w:t>
      </w:r>
    </w:p>
    <w:p w14:paraId="4DB81761" w14:textId="77777777" w:rsidR="001225BB" w:rsidRDefault="00000000">
      <w:pPr>
        <w:pStyle w:val="Heading2"/>
      </w:pPr>
      <w:r>
        <w:t>An ordinary example with an unforgiving boundary</w:t>
      </w:r>
    </w:p>
    <w:p w14:paraId="2A65D1C9" w14:textId="77777777" w:rsidR="001225BB" w:rsidRDefault="00000000">
      <w:r>
        <w:t>Suppose a policy permits one payment of up to $1,000 to an approved supplier and requires a finance approval. The model can propose the payment. A classifier can examine it. A person can approve it. The governor should refuse a changed beneficiary, a missing approval, revoked authority or reuse of the same ticket. The authority to execute the payment must be available only through the enforcing endpoint for this claim to hold. This is an illustrative use case, not a claim that a payment integration exists.</w:t>
      </w:r>
    </w:p>
    <w:p w14:paraId="1F2DD4ED" w14:textId="77777777" w:rsidR="001225BB" w:rsidRDefault="00000000">
      <w:pPr>
        <w:pStyle w:val="Heading2"/>
      </w:pPr>
      <w:r>
        <w:t>Define exactly what a refusal prevents</w:t>
      </w:r>
    </w:p>
    <w:p w14:paraId="3C4E57D2" w14:textId="77777777" w:rsidR="001225BB" w:rsidRDefault="00000000">
      <w:r>
        <w:t>An action gate can refuse a protected service call. A key controller can withhold a secret. Platform circuitry may inhibit execution or request a reset. A power limit may reduce performance without stopping computation. These are different functions, with different control paths and timing. We must name the one we implement and measure its effect.</w:t>
      </w:r>
    </w:p>
    <w:p w14:paraId="248BF752" w14:textId="77777777" w:rsidR="001225BB" w:rsidRDefault="00000000">
      <w:r>
        <w:t>Our intended promise is narrow and strong: without current, valid authorization, the specified protected effect does not proceed. The governor does not establish that every authorized act is harmless. A harmful action can satisfy a badly written policy, and several honest observers can share the same mistake.</w:t>
      </w:r>
    </w:p>
    <w:p w14:paraId="289BCB13" w14:textId="77777777" w:rsidR="001225BB" w:rsidRDefault="00000000">
      <w:r>
        <w:br w:type="page"/>
      </w:r>
    </w:p>
    <w:p w14:paraId="7BCA59E9" w14:textId="77777777" w:rsidR="001225BB" w:rsidRDefault="00000000">
      <w:pPr>
        <w:pStyle w:val="Heading1"/>
      </w:pPr>
      <w:r>
        <w:lastRenderedPageBreak/>
        <w:t>The boundary we have to earn</w:t>
      </w:r>
    </w:p>
    <w:p w14:paraId="1CE840D3" w14:textId="77777777" w:rsidR="001225BB" w:rsidRDefault="00000000">
      <w:r>
        <w:t>If the host can ignore the governor, the governor is an advisory device. We need an unavoidable point of enforcement and control over the state that gives permission its meaning. The diagram shows the intended relationship. It is a design requirement, not a completed integration.</w:t>
      </w:r>
    </w:p>
    <w:p w14:paraId="150B97D3" w14:textId="77777777" w:rsidR="001225BB" w:rsidRDefault="00000000">
      <w:pPr>
        <w:keepNext/>
        <w:spacing w:after="0"/>
        <w:jc w:val="center"/>
      </w:pPr>
      <w:r>
        <w:rPr>
          <w:noProof/>
        </w:rPr>
        <w:drawing>
          <wp:inline distT="0" distB="0" distL="0" distR="0" wp14:anchorId="26D65DE3" wp14:editId="08DC81D8">
            <wp:extent cx="6309360" cy="3011205"/>
            <wp:effectExtent l="0" t="0" r="0" b="0"/>
            <wp:docPr id="1" name="Picture 1" descr="Proposed architecture: potentially compromised host and BMC submit requests to the Safety Governor. Policy authority configures the governor. A compulsory gate receives scoped permission, while an independent platform watchdog withdraws permission on failure. Only the gate can commit the protected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rity-boundary.png"/>
                    <pic:cNvPicPr/>
                  </pic:nvPicPr>
                  <pic:blipFill>
                    <a:blip r:embed="rId8"/>
                    <a:stretch>
                      <a:fillRect/>
                    </a:stretch>
                  </pic:blipFill>
                  <pic:spPr>
                    <a:xfrm>
                      <a:off x="0" y="0"/>
                      <a:ext cx="6309360" cy="3011205"/>
                    </a:xfrm>
                    <a:prstGeom prst="rect">
                      <a:avLst/>
                    </a:prstGeom>
                  </pic:spPr>
                </pic:pic>
              </a:graphicData>
            </a:graphic>
          </wp:inline>
        </w:drawing>
      </w:r>
    </w:p>
    <w:p w14:paraId="78CC43D4" w14:textId="77777777" w:rsidR="001225BB" w:rsidRDefault="00000000">
      <w:pPr>
        <w:pStyle w:val="Caption"/>
      </w:pPr>
      <w:r>
        <w:t>Figure 1. Proposed authority boundary. The compulsory gate may be a protected service endpoint or platform circuitry. The watchdog and gate must remain effective under the declared fault and compromise model.</w:t>
      </w:r>
    </w:p>
    <w:p w14:paraId="4F531579" w14:textId="77777777" w:rsidR="001225BB" w:rsidRDefault="00000000">
      <w:pPr>
        <w:pStyle w:val="Heading2"/>
      </w:pPr>
      <w:r>
        <w:t>Keep the authority outside the compromised host</w:t>
      </w:r>
    </w:p>
    <w:p w14:paraId="416BADBB" w14:textId="77777777" w:rsidR="001225BB" w:rsidRDefault="00000000">
      <w:r>
        <w:t>If host or BMC compromise is in scope, neither may retain an alternate credential, management writer or override that defeats the check. Putting the chip beside a BMC does not make it independent of BMC software. Policy updates, emergency recovery and key replacement need authenticated procedures and identifiable owners. Multiple signatures do not create independent oversight if the same party controls all the keys.</w:t>
      </w:r>
    </w:p>
    <w:p w14:paraId="5AF4B28D" w14:textId="77777777" w:rsidR="001225BB" w:rsidRDefault="00000000">
      <w:pPr>
        <w:pStyle w:val="Heading2"/>
      </w:pPr>
      <w:r>
        <w:t>Preserve the meaning of permission across failure</w:t>
      </w:r>
    </w:p>
    <w:p w14:paraId="7872C055" w14:textId="77777777" w:rsidR="001225BB" w:rsidRDefault="00000000">
      <w:r>
        <w:t>The trusted core needs authenticated boot and updates, protected keys, monotonic version floors, durable replay and budget state, and a readiness barrier before it accepts work. Reset must not resurrect revoked authority or make a spent ticket look unused. Torn writes, full storage and an uncertain remote result require explicit recovery rules. A local spent bit alone cannot promise exactly-once effects at an arbitrary remote service.</w:t>
      </w:r>
    </w:p>
    <w:p w14:paraId="65497968" w14:textId="77777777" w:rsidR="001225BB" w:rsidRDefault="00000000">
      <w:pPr>
        <w:pStyle w:val="Heading2"/>
      </w:pPr>
      <w:r>
        <w:t>Make the loss of the governor enforceable</w:t>
      </w:r>
    </w:p>
    <w:p w14:paraId="4EC386A3" w14:textId="77777777" w:rsidR="001225BB" w:rsidRDefault="00000000">
      <w:r>
        <w:t>The platform must detect removal, reset, power loss or loss of communication and apply a defined safe state. A dead card cannot be the only thing expected to assert “stop.” An independent interlock or watchdog must withhold the relevant permission. We also need a policy for already accepted work, because revoking future actions does not undo effects that have already occurred.</w:t>
      </w:r>
    </w:p>
    <w:p w14:paraId="3E10FEB8" w14:textId="77777777" w:rsidR="001225BB" w:rsidRDefault="00000000">
      <w:r>
        <w:br w:type="page"/>
      </w:r>
    </w:p>
    <w:p w14:paraId="2D08BB14" w14:textId="77777777" w:rsidR="001225BB" w:rsidRDefault="00000000">
      <w:pPr>
        <w:pStyle w:val="Heading1"/>
      </w:pPr>
      <w:r>
        <w:lastRenderedPageBreak/>
        <w:t>A real Supermicro location</w:t>
      </w:r>
    </w:p>
    <w:p w14:paraId="42FDA6C3" w14:textId="77777777" w:rsidR="001225BB" w:rsidRDefault="00000000">
      <w:r>
        <w:t>This is a top view of Supermicro’s G1SMH-G baseboard for a Grace Hopper system. It gives us a concrete reference for an OEM management-module discussion. The Grace Hopper compute module is absent from this bare-board photograph. [2, 3]</w:t>
      </w:r>
    </w:p>
    <w:p w14:paraId="17F35F09" w14:textId="77777777" w:rsidR="001225BB" w:rsidRDefault="00000000">
      <w:pPr>
        <w:keepNext/>
        <w:spacing w:after="0"/>
        <w:jc w:val="center"/>
      </w:pPr>
      <w:r>
        <w:rPr>
          <w:noProof/>
        </w:rPr>
        <w:drawing>
          <wp:inline distT="0" distB="0" distL="0" distR="0" wp14:anchorId="0E6DEDAD" wp14:editId="2A43ADC9">
            <wp:extent cx="3136392" cy="4579132"/>
            <wp:effectExtent l="0" t="0" r="0" b="0"/>
            <wp:docPr id="2" name="Picture 2" descr="Top-down manufacturer photograph of the unpopulated Supermicro G1SMH-G baseboard. The long light connector along the left is the JBMC1 BMC DC-SCM connector. Two wide horizontal connectors in the center connect the Grace Hopper compute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ce-hopper-g1smh-g.jpg"/>
                    <pic:cNvPicPr/>
                  </pic:nvPicPr>
                  <pic:blipFill>
                    <a:blip r:embed="rId9"/>
                    <a:stretch>
                      <a:fillRect/>
                    </a:stretch>
                  </pic:blipFill>
                  <pic:spPr>
                    <a:xfrm>
                      <a:off x="0" y="0"/>
                      <a:ext cx="3136392" cy="4579132"/>
                    </a:xfrm>
                    <a:prstGeom prst="rect">
                      <a:avLst/>
                    </a:prstGeom>
                  </pic:spPr>
                </pic:pic>
              </a:graphicData>
            </a:graphic>
          </wp:inline>
        </w:drawing>
      </w:r>
    </w:p>
    <w:p w14:paraId="6E9187BA" w14:textId="77777777" w:rsidR="001225BB" w:rsidRDefault="00000000">
      <w:pPr>
        <w:pStyle w:val="Caption"/>
      </w:pPr>
      <w:r>
        <w:t>Figure 2. Supermicro G1SMH-G reference motherboard, shown without its compute module. Original manufacturer photograph. The empty-looking center is not spare space in an assembled server. [2, 3]</w:t>
      </w:r>
    </w:p>
    <w:p w14:paraId="6010D1E5" w14:textId="77777777" w:rsidR="001225BB" w:rsidRDefault="00000000">
      <w:r>
        <w:t>Look at the long light-colored connector on the left, below the square Intel FPGA. The manual identifies it as JBMC1, the BMC DC-SCM module card connector. That management interface is a candidate for an OEM-designed integration. It is an existing management role, not an unused universal socket for our chip. [3]</w:t>
      </w:r>
    </w:p>
    <w:p w14:paraId="00512A9E" w14:textId="77777777" w:rsidR="001225BB" w:rsidRDefault="00000000">
      <w:r>
        <w:t>The two broad horizontal connectors in the middle, labeled GPU1 and CPU1 in the manual, connect the compute module. Our chip would live on its own carrier or an OEM management board. We would need the vendor to establish the mechanical fit, electrical interface, power domain and binding control path. The photograph establishes none of those approvals.</w:t>
      </w:r>
    </w:p>
    <w:p w14:paraId="44DC9C81" w14:textId="77777777" w:rsidR="001225BB" w:rsidRDefault="00000000">
      <w:r>
        <w:br w:type="page"/>
      </w:r>
    </w:p>
    <w:p w14:paraId="5E6CE80A" w14:textId="77777777" w:rsidR="001225BB" w:rsidRDefault="00000000">
      <w:pPr>
        <w:pStyle w:val="Heading1"/>
      </w:pPr>
      <w:r>
        <w:lastRenderedPageBreak/>
        <w:t>A Blackwell server is several boards</w:t>
      </w:r>
    </w:p>
    <w:p w14:paraId="130EB46F" w14:textId="77777777" w:rsidR="001225BB" w:rsidRDefault="00000000">
      <w:r>
        <w:t>NVIDIA’s DGX B200 makes the separation easy to see. The CPU and memory tray contains PCIe riser positions; the eight B200 GPUs occupy a different tray. These official top views show the packaging problem our module would have to solve. [4]</w:t>
      </w:r>
    </w:p>
    <w:p w14:paraId="362CAFE9" w14:textId="77777777" w:rsidR="001225BB" w:rsidRDefault="00000000">
      <w:pPr>
        <w:keepNext/>
        <w:spacing w:after="0"/>
        <w:jc w:val="center"/>
      </w:pPr>
      <w:r>
        <w:rPr>
          <w:noProof/>
        </w:rPr>
        <w:drawing>
          <wp:inline distT="0" distB="0" distL="0" distR="0" wp14:anchorId="016ECABF" wp14:editId="1264A2E2">
            <wp:extent cx="5779008" cy="3001219"/>
            <wp:effectExtent l="0" t="0" r="0" b="0"/>
            <wp:docPr id="3" name="Picture 3" descr="Official labeled NVIDIA DGX B200 motherboard tray top view. PCIe riser positions are at left, CPUs and DIMMs are in the center, and ConnectX-7 cards and midplane connections are at right. Illustrated riser positions are popul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x-b200-motherboard.png"/>
                    <pic:cNvPicPr/>
                  </pic:nvPicPr>
                  <pic:blipFill>
                    <a:blip r:embed="rId10"/>
                    <a:stretch>
                      <a:fillRect/>
                    </a:stretch>
                  </pic:blipFill>
                  <pic:spPr>
                    <a:xfrm>
                      <a:off x="0" y="0"/>
                      <a:ext cx="5779008" cy="3001219"/>
                    </a:xfrm>
                    <a:prstGeom prst="rect">
                      <a:avLst/>
                    </a:prstGeom>
                  </pic:spPr>
                </pic:pic>
              </a:graphicData>
            </a:graphic>
          </wp:inline>
        </w:drawing>
      </w:r>
    </w:p>
    <w:p w14:paraId="6B655037" w14:textId="77777777" w:rsidR="001225BB" w:rsidRDefault="00000000">
      <w:pPr>
        <w:pStyle w:val="Caption"/>
      </w:pPr>
      <w:r>
        <w:t>Figure 3. DGX B200 CPU and memory tray. The PCIe riser positions are on the left. The illustrated configuration already has cards installed; this is not evidence of a free, compatible slot. [4]</w:t>
      </w:r>
    </w:p>
    <w:p w14:paraId="28C32E44" w14:textId="77777777" w:rsidR="001225BB" w:rsidRDefault="00000000">
      <w:pPr>
        <w:keepNext/>
        <w:spacing w:after="0"/>
        <w:jc w:val="center"/>
      </w:pPr>
      <w:r>
        <w:rPr>
          <w:noProof/>
        </w:rPr>
        <w:drawing>
          <wp:inline distT="0" distB="0" distL="0" distR="0" wp14:anchorId="39C972FF" wp14:editId="004D7D24">
            <wp:extent cx="5779008" cy="2824862"/>
            <wp:effectExtent l="0" t="0" r="0" b="0"/>
            <wp:docPr id="4" name="Picture 4" descr="Official labeled NVIDIA DGX B200 GPU tray top view, showing two banks of four B200 GPUs, NVSwitch components in the center and midplane connections on th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x-b200-gpu-tray.png"/>
                    <pic:cNvPicPr/>
                  </pic:nvPicPr>
                  <pic:blipFill>
                    <a:blip r:embed="rId11"/>
                    <a:stretch>
                      <a:fillRect/>
                    </a:stretch>
                  </pic:blipFill>
                  <pic:spPr>
                    <a:xfrm>
                      <a:off x="0" y="0"/>
                      <a:ext cx="5779008" cy="2824862"/>
                    </a:xfrm>
                    <a:prstGeom prst="rect">
                      <a:avLst/>
                    </a:prstGeom>
                  </pic:spPr>
                </pic:pic>
              </a:graphicData>
            </a:graphic>
          </wp:inline>
        </w:drawing>
      </w:r>
    </w:p>
    <w:p w14:paraId="62D2A9E9" w14:textId="77777777" w:rsidR="001225BB" w:rsidRDefault="00000000">
      <w:pPr>
        <w:pStyle w:val="Caption"/>
      </w:pPr>
      <w:r>
        <w:t>Figure 4. Separate DGX B200 GPU tray. The GPU and NVSwitch assembly is distinct from the CPU and memory tray above. Original NVIDIA reference illustrations. [4]</w:t>
      </w:r>
    </w:p>
    <w:p w14:paraId="46CD4D39" w14:textId="77777777" w:rsidR="001225BB" w:rsidRDefault="00000000">
      <w:pPr>
        <w:spacing w:after="0"/>
      </w:pPr>
      <w:r>
        <w:t>A prototype carrier could target a qualified I/O position in the host tray. GPU inhibition would require a separate, protected platform control path. A PCIe endpoint does not automatically intercept all GPU, NVLink or network traffic. The physical slot gives us a place to connect; the integration must establish authority.</w:t>
      </w:r>
    </w:p>
    <w:p w14:paraId="4D186E08" w14:textId="77777777" w:rsidR="001225BB" w:rsidRDefault="00000000">
      <w:r>
        <w:br w:type="page"/>
      </w:r>
    </w:p>
    <w:p w14:paraId="3D41F914" w14:textId="77777777" w:rsidR="001225BB" w:rsidRDefault="00000000">
      <w:pPr>
        <w:pStyle w:val="Heading1"/>
      </w:pPr>
      <w:r>
        <w:lastRenderedPageBreak/>
        <w:t>What our add on module could contain</w:t>
      </w:r>
    </w:p>
    <w:p w14:paraId="26FD5BBE" w14:textId="77777777" w:rsidR="001225BB" w:rsidRDefault="00000000">
      <w:r>
        <w:t>We envision the governor ASIC on a small carrier in the server’s I/O or management area. An FPGA can implement the prototype. The drawing identifies component roles and the connection we must negotiate with an OEM. It is not a proposed pinout, a routed board or a claim of mechanical fit.</w:t>
      </w:r>
    </w:p>
    <w:p w14:paraId="60B55BF1" w14:textId="77777777" w:rsidR="001225BB" w:rsidRDefault="00000000">
      <w:pPr>
        <w:keepNext/>
        <w:spacing w:after="0"/>
        <w:jc w:val="center"/>
      </w:pPr>
      <w:r>
        <w:rPr>
          <w:noProof/>
        </w:rPr>
        <w:drawing>
          <wp:inline distT="0" distB="0" distL="0" distR="0" wp14:anchorId="37C67770" wp14:editId="53E0E7B8">
            <wp:extent cx="6309360" cy="3092754"/>
            <wp:effectExtent l="0" t="0" r="0" b="0"/>
            <wp:docPr id="5" name="Picture 5" descr="Conceptual top view of a carrier board with a Safety Governor ASIC or prototype FPGA, protected key and version state, durable replay and budget state, a power domain, a host connector and a separate platform-specific control interface to a compulsory gate. No dimensions or routing are im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rier-concept.png"/>
                    <pic:cNvPicPr/>
                  </pic:nvPicPr>
                  <pic:blipFill>
                    <a:blip r:embed="rId12"/>
                    <a:stretch>
                      <a:fillRect/>
                    </a:stretch>
                  </pic:blipFill>
                  <pic:spPr>
                    <a:xfrm>
                      <a:off x="0" y="0"/>
                      <a:ext cx="6309360" cy="3092754"/>
                    </a:xfrm>
                    <a:prstGeom prst="rect">
                      <a:avLst/>
                    </a:prstGeom>
                  </pic:spPr>
                </pic:pic>
              </a:graphicData>
            </a:graphic>
          </wp:inline>
        </w:drawing>
      </w:r>
    </w:p>
    <w:p w14:paraId="2895172D" w14:textId="77777777" w:rsidR="001225BB" w:rsidRDefault="00000000">
      <w:pPr>
        <w:pStyle w:val="Caption"/>
      </w:pPr>
      <w:r>
        <w:t>Figure 5. Proposed carrier concept, not to scale. The separate control connection represents the compulsory enforcement path. The final implementation may distribute protected storage and fault handling differently.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A0" w:firstRow="1" w:lastRow="0" w:firstColumn="1" w:lastColumn="0" w:noHBand="0" w:noVBand="1"/>
      </w:tblPr>
      <w:tblGrid>
        <w:gridCol w:w="1786"/>
        <w:gridCol w:w="3312"/>
        <w:gridCol w:w="4838"/>
      </w:tblGrid>
      <w:tr w:rsidR="001225BB" w14:paraId="62D014F0" w14:textId="77777777">
        <w:trPr>
          <w:cantSplit/>
          <w:tblHeader/>
          <w:jc w:val="center"/>
        </w:trPr>
        <w:tc>
          <w:tcPr>
            <w:tcW w:w="1786" w:type="dxa"/>
            <w:shd w:val="clear" w:color="auto" w:fill="343F48"/>
            <w:vAlign w:val="center"/>
          </w:tcPr>
          <w:p w14:paraId="7AA6DF07" w14:textId="77777777" w:rsidR="001225BB" w:rsidRDefault="00000000">
            <w:pPr>
              <w:spacing w:after="20" w:line="245" w:lineRule="auto"/>
            </w:pPr>
            <w:r>
              <w:rPr>
                <w:b/>
                <w:color w:val="FFFFFF"/>
                <w:sz w:val="19"/>
              </w:rPr>
              <w:t>Integration route</w:t>
            </w:r>
          </w:p>
        </w:tc>
        <w:tc>
          <w:tcPr>
            <w:tcW w:w="3312" w:type="dxa"/>
            <w:shd w:val="clear" w:color="auto" w:fill="343F48"/>
            <w:vAlign w:val="center"/>
          </w:tcPr>
          <w:p w14:paraId="6EC70CE5" w14:textId="77777777" w:rsidR="001225BB" w:rsidRDefault="00000000">
            <w:pPr>
              <w:spacing w:after="20" w:line="245" w:lineRule="auto"/>
            </w:pPr>
            <w:r>
              <w:rPr>
                <w:b/>
                <w:color w:val="FFFFFF"/>
                <w:sz w:val="19"/>
              </w:rPr>
              <w:t>What it could provide</w:t>
            </w:r>
          </w:p>
        </w:tc>
        <w:tc>
          <w:tcPr>
            <w:tcW w:w="4838" w:type="dxa"/>
            <w:shd w:val="clear" w:color="auto" w:fill="343F48"/>
            <w:vAlign w:val="center"/>
          </w:tcPr>
          <w:p w14:paraId="6546A90C" w14:textId="77777777" w:rsidR="001225BB" w:rsidRDefault="00000000">
            <w:pPr>
              <w:spacing w:after="20" w:line="245" w:lineRule="auto"/>
            </w:pPr>
            <w:r>
              <w:rPr>
                <w:b/>
                <w:color w:val="FFFFFF"/>
                <w:sz w:val="19"/>
              </w:rPr>
              <w:t>What we still have to establish</w:t>
            </w:r>
          </w:p>
        </w:tc>
      </w:tr>
      <w:tr w:rsidR="001225BB" w14:paraId="263C564E" w14:textId="77777777">
        <w:trPr>
          <w:cantSplit/>
          <w:jc w:val="center"/>
        </w:trPr>
        <w:tc>
          <w:tcPr>
            <w:tcW w:w="1786" w:type="dxa"/>
            <w:shd w:val="clear" w:color="auto" w:fill="FFFFFF"/>
            <w:vAlign w:val="center"/>
          </w:tcPr>
          <w:p w14:paraId="63C02463" w14:textId="77777777" w:rsidR="001225BB" w:rsidRDefault="00000000">
            <w:pPr>
              <w:spacing w:after="20" w:line="245" w:lineRule="auto"/>
            </w:pPr>
            <w:r>
              <w:rPr>
                <w:b/>
                <w:sz w:val="19"/>
              </w:rPr>
              <w:t>PCIe carrier</w:t>
            </w:r>
          </w:p>
        </w:tc>
        <w:tc>
          <w:tcPr>
            <w:tcW w:w="3312" w:type="dxa"/>
            <w:shd w:val="clear" w:color="auto" w:fill="FFFFFF"/>
            <w:vAlign w:val="center"/>
          </w:tcPr>
          <w:p w14:paraId="5D40C4B4" w14:textId="77777777" w:rsidR="001225BB" w:rsidRDefault="00000000">
            <w:pPr>
              <w:spacing w:after="20" w:line="245" w:lineRule="auto"/>
            </w:pPr>
            <w:r>
              <w:rPr>
                <w:sz w:val="19"/>
              </w:rPr>
              <w:t>Practical prototype packaging and a host request interface.</w:t>
            </w:r>
          </w:p>
        </w:tc>
        <w:tc>
          <w:tcPr>
            <w:tcW w:w="4838" w:type="dxa"/>
            <w:shd w:val="clear" w:color="auto" w:fill="FFFFFF"/>
            <w:vAlign w:val="center"/>
          </w:tcPr>
          <w:p w14:paraId="18C705F5" w14:textId="77777777" w:rsidR="001225BB" w:rsidRDefault="00000000">
            <w:pPr>
              <w:spacing w:after="20" w:line="245" w:lineRule="auto"/>
            </w:pPr>
            <w:r>
              <w:rPr>
                <w:sz w:val="19"/>
              </w:rPr>
              <w:t>Qualified slot, power and cooling; an unavoidable protected endpoint or additional platform control wiring.</w:t>
            </w:r>
          </w:p>
        </w:tc>
      </w:tr>
      <w:tr w:rsidR="001225BB" w14:paraId="0D3F6917" w14:textId="77777777">
        <w:trPr>
          <w:cantSplit/>
          <w:jc w:val="center"/>
        </w:trPr>
        <w:tc>
          <w:tcPr>
            <w:tcW w:w="1786" w:type="dxa"/>
            <w:shd w:val="clear" w:color="auto" w:fill="F5F6F7"/>
            <w:vAlign w:val="center"/>
          </w:tcPr>
          <w:p w14:paraId="73C7C10E" w14:textId="77777777" w:rsidR="001225BB" w:rsidRDefault="00000000">
            <w:pPr>
              <w:spacing w:after="20" w:line="245" w:lineRule="auto"/>
            </w:pPr>
            <w:r>
              <w:rPr>
                <w:b/>
                <w:sz w:val="19"/>
              </w:rPr>
              <w:t>Custom DC-SCM</w:t>
            </w:r>
          </w:p>
        </w:tc>
        <w:tc>
          <w:tcPr>
            <w:tcW w:w="3312" w:type="dxa"/>
            <w:shd w:val="clear" w:color="auto" w:fill="F5F6F7"/>
            <w:vAlign w:val="center"/>
          </w:tcPr>
          <w:p w14:paraId="5146244E" w14:textId="77777777" w:rsidR="001225BB" w:rsidRDefault="00000000">
            <w:pPr>
              <w:spacing w:after="20" w:line="245" w:lineRule="auto"/>
            </w:pPr>
            <w:r>
              <w:rPr>
                <w:sz w:val="19"/>
              </w:rPr>
              <w:t>An OEM management and security module with an established interface category. [5]</w:t>
            </w:r>
          </w:p>
        </w:tc>
        <w:tc>
          <w:tcPr>
            <w:tcW w:w="4838" w:type="dxa"/>
            <w:shd w:val="clear" w:color="auto" w:fill="F5F6F7"/>
            <w:vAlign w:val="center"/>
          </w:tcPr>
          <w:p w14:paraId="0AEBA5AC" w14:textId="77777777" w:rsidR="001225BB" w:rsidRDefault="00000000">
            <w:pPr>
              <w:spacing w:after="20" w:line="245" w:lineRule="auto"/>
            </w:pPr>
            <w:r>
              <w:rPr>
                <w:sz w:val="19"/>
              </w:rPr>
              <w:t>Compatibility with the selected host platform, retained management functions and protected control ownership.</w:t>
            </w:r>
          </w:p>
        </w:tc>
      </w:tr>
      <w:tr w:rsidR="001225BB" w14:paraId="392E934F" w14:textId="77777777">
        <w:trPr>
          <w:cantSplit/>
          <w:jc w:val="center"/>
        </w:trPr>
        <w:tc>
          <w:tcPr>
            <w:tcW w:w="1786" w:type="dxa"/>
            <w:shd w:val="clear" w:color="auto" w:fill="FFFFFF"/>
            <w:vAlign w:val="center"/>
          </w:tcPr>
          <w:p w14:paraId="54AF5445" w14:textId="77777777" w:rsidR="001225BB" w:rsidRDefault="00000000">
            <w:pPr>
              <w:spacing w:after="20" w:line="245" w:lineRule="auto"/>
            </w:pPr>
            <w:r>
              <w:rPr>
                <w:b/>
                <w:sz w:val="19"/>
              </w:rPr>
              <w:t>OEM daughtercard</w:t>
            </w:r>
          </w:p>
        </w:tc>
        <w:tc>
          <w:tcPr>
            <w:tcW w:w="3312" w:type="dxa"/>
            <w:shd w:val="clear" w:color="auto" w:fill="FFFFFF"/>
            <w:vAlign w:val="center"/>
          </w:tcPr>
          <w:p w14:paraId="6540CEC1" w14:textId="77777777" w:rsidR="001225BB" w:rsidRDefault="00000000">
            <w:pPr>
              <w:spacing w:after="20" w:line="245" w:lineRule="auto"/>
            </w:pPr>
            <w:r>
              <w:rPr>
                <w:sz w:val="19"/>
              </w:rPr>
              <w:t>A purpose-built module with dedicated signals and power arrangements.</w:t>
            </w:r>
          </w:p>
        </w:tc>
        <w:tc>
          <w:tcPr>
            <w:tcW w:w="4838" w:type="dxa"/>
            <w:shd w:val="clear" w:color="auto" w:fill="FFFFFF"/>
            <w:vAlign w:val="center"/>
          </w:tcPr>
          <w:p w14:paraId="0248AD57" w14:textId="77777777" w:rsidR="001225BB" w:rsidRDefault="00000000">
            <w:pPr>
              <w:spacing w:after="20" w:line="245" w:lineRule="auto"/>
            </w:pPr>
            <w:r>
              <w:rPr>
                <w:sz w:val="19"/>
              </w:rPr>
              <w:t>Vendor support, defined connectors and a platform response that survives host or BMC compromise.</w:t>
            </w:r>
          </w:p>
        </w:tc>
      </w:tr>
    </w:tbl>
    <w:p w14:paraId="4AD61A16" w14:textId="77777777" w:rsidR="001225BB" w:rsidRDefault="001225BB">
      <w:pPr>
        <w:spacing w:after="0"/>
      </w:pPr>
    </w:p>
    <w:p w14:paraId="12B3AD6A" w14:textId="77777777" w:rsidR="001225BB" w:rsidRDefault="00000000">
      <w:r>
        <w:t>The ASIC would be one component of the enforcement system. Its package size, lane count, power consumption, cooling needs and board dimensions remain engineering questions. We should not put invented numbers in a vision document and let them harden into promises.</w:t>
      </w:r>
    </w:p>
    <w:p w14:paraId="121072CF" w14:textId="77777777" w:rsidR="001225BB" w:rsidRDefault="00000000">
      <w:pPr>
        <w:spacing w:after="0"/>
      </w:pPr>
      <w:r>
        <w:rPr>
          <w:b/>
        </w:rPr>
        <w:t>A slot is a place to mount the board. It is not, by itself, authority over the machine.</w:t>
      </w:r>
    </w:p>
    <w:p w14:paraId="1C1124A0" w14:textId="77777777" w:rsidR="001225BB" w:rsidRDefault="00000000">
      <w:r>
        <w:br w:type="page"/>
      </w:r>
    </w:p>
    <w:p w14:paraId="58B6D528" w14:textId="77777777" w:rsidR="001225BB" w:rsidRDefault="00000000">
      <w:pPr>
        <w:pStyle w:val="Heading1"/>
      </w:pPr>
      <w:r>
        <w:lastRenderedPageBreak/>
        <w:t>The promises we would have to prove</w:t>
      </w:r>
    </w:p>
    <w:p w14:paraId="791C40DC" w14:textId="77777777" w:rsidR="001225BB" w:rsidRDefault="00000000">
      <w:r>
        <w:t>The acceptance test is whether the protected effect remains governed under the failures we claim to tolerate. A passing unit-test suite, a valid signature or a changing GPIO pin is insufficient evidence on its own. We need observable outcomes at the actual endpoint or machine.</w:t>
      </w:r>
    </w:p>
    <w:p w14:paraId="4BF13640" w14:textId="77777777" w:rsidR="001225BB" w:rsidRDefault="00000000">
      <w:pPr>
        <w:pStyle w:val="Heading2"/>
      </w:pPr>
      <w:r>
        <w:t>Every relevant route is accounted for</w:t>
      </w:r>
    </w:p>
    <w:p w14:paraId="7FBB1887" w14:textId="77777777" w:rsidR="001225BB" w:rsidRDefault="00000000">
      <w:r>
        <w:t>Enumerate the ways the effect can occur, including alternate credentials, service endpoints, privileged management interfaces and recovery procedures. Try each route without valid authorization. The evidence must show that no route within the declared deployment bypasses the boundary. If one remains, narrow the claim or close the route.</w:t>
      </w:r>
    </w:p>
    <w:p w14:paraId="47A8E6BB" w14:textId="77777777" w:rsidR="001225BB" w:rsidRDefault="00000000">
      <w:pPr>
        <w:pStyle w:val="Heading2"/>
      </w:pPr>
      <w:r>
        <w:t>A hostile host cannot grant itself authority</w:t>
      </w:r>
    </w:p>
    <w:p w14:paraId="35A87F28" w14:textId="77777777" w:rsidR="001225BB" w:rsidRDefault="00000000">
      <w:r>
        <w:t>Test a compromised host and, separately, a compromised BMC. Attempt policy replacement, forged context, changed parameters, unauthorized firmware, replay and access to an alternate control writer. The intended result is a denied protected effect and a recoverable, accountable state. We must specify which roots of trust remain trusted in each test.</w:t>
      </w:r>
    </w:p>
    <w:p w14:paraId="1C22F89A" w14:textId="77777777" w:rsidR="001225BB" w:rsidRDefault="00000000">
      <w:pPr>
        <w:pStyle w:val="Heading2"/>
      </w:pPr>
      <w:r>
        <w:t>Failure does not recreate permission</w:t>
      </w:r>
    </w:p>
    <w:p w14:paraId="04A7E1F9" w14:textId="77777777" w:rsidR="001225BB" w:rsidRDefault="00000000">
      <w:r>
        <w:t>Cut power and reset components at transaction boundaries. Exercise torn writes, storage exhaustion, retries and uncertain remote outcomes. A reboot must not roll back policy, restore budget or revive a consumed ticket. Recovery must avoid duplicate effects without silently losing the information needed to reconcile an operation.</w:t>
      </w:r>
    </w:p>
    <w:p w14:paraId="3794BF83" w14:textId="77777777" w:rsidR="001225BB" w:rsidRDefault="00000000">
      <w:pPr>
        <w:pStyle w:val="Heading2"/>
      </w:pPr>
      <w:r>
        <w:t>Revocation has a measurable meaning</w:t>
      </w:r>
    </w:p>
    <w:p w14:paraId="6083C4F4" w14:textId="77777777" w:rsidR="001225BB" w:rsidRDefault="00000000">
      <w:r>
        <w:t>Specify when revocation becomes effective, how fresh authority is established and which accepted operations may finish. Test delayed messages, reordered updates, stale registries and unavailable clocks or authority services. “Current” must have a defined implementation and a measured bound, not just a field in a token.</w:t>
      </w:r>
    </w:p>
    <w:p w14:paraId="3A279F9B" w14:textId="77777777" w:rsidR="001225BB" w:rsidRDefault="00000000">
      <w:pPr>
        <w:pStyle w:val="Heading2"/>
      </w:pPr>
      <w:r>
        <w:t>The platform does the thing we claim</w:t>
      </w:r>
    </w:p>
    <w:p w14:paraId="1D22C46B" w14:textId="77777777" w:rsidR="001225BB" w:rsidRDefault="00000000">
      <w:r>
        <w:t>Remove the card, interrupt its power and stop its communications. Measure the protected effect at the endpoint. For platform control, distinguish a requested reset, reduced power, inhibited execution and actual cessation of the relevant activity. Measure the delay and account for work already in flight. The appropriate safe state depends on the workload.</w:t>
      </w:r>
    </w:p>
    <w:p w14:paraId="59D5FECF" w14:textId="77777777" w:rsidR="001225BB" w:rsidRDefault="00000000">
      <w:pPr>
        <w:pStyle w:val="Heading2"/>
      </w:pPr>
      <w:r>
        <w:t>The complete system can carry the workload</w:t>
      </w:r>
    </w:p>
    <w:p w14:paraId="019D1F0C" w14:textId="77777777" w:rsidR="001225BB" w:rsidRDefault="00000000">
      <w:r>
        <w:t>Measure throughput and latency from request to committed effect, including approvals, durable state updates, network dependencies and recovery. Record false holds and operational burden. Compare the full design with a credible software gateway, protected controller or existing security hardware. Custom silicon must earn its cost and complexity.</w:t>
      </w:r>
    </w:p>
    <w:p w14:paraId="03BCCCA8" w14:textId="77777777" w:rsidR="001225BB" w:rsidRDefault="00000000">
      <w:pPr>
        <w:spacing w:after="0"/>
      </w:pPr>
      <w:r>
        <w:rPr>
          <w:sz w:val="20"/>
        </w:rPr>
        <w:t>These are proposed acceptance conditions. This document does not report that they have passed, and it does not certify remediation of findings from a prior audit.</w:t>
      </w:r>
    </w:p>
    <w:p w14:paraId="7D03EC78" w14:textId="77777777" w:rsidR="001225BB" w:rsidRDefault="00000000">
      <w:r>
        <w:br w:type="page"/>
      </w:r>
    </w:p>
    <w:p w14:paraId="1A93C014" w14:textId="77777777" w:rsidR="001225BB" w:rsidRDefault="00000000">
      <w:pPr>
        <w:pStyle w:val="Heading1"/>
      </w:pPr>
      <w:r>
        <w:lastRenderedPageBreak/>
        <w:t>A route from prototype to silicon</w:t>
      </w:r>
    </w:p>
    <w:p w14:paraId="313C8088" w14:textId="77777777" w:rsidR="001225BB" w:rsidRDefault="00000000">
      <w:r>
        <w:t>We should build toward one useful, defensible guarantee before claiming broad control over an AI server. The first candidate is a consequential tool action through a protected gateway that alone holds the service credential. The host would submit requests without receiving a reusable secret. This makes the effect and its enforcement point concrete.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A0" w:firstRow="1" w:lastRow="0" w:firstColumn="1" w:lastColumn="0" w:noHBand="0" w:noVBand="1"/>
      </w:tblPr>
      <w:tblGrid>
        <w:gridCol w:w="2203"/>
        <w:gridCol w:w="7733"/>
      </w:tblGrid>
      <w:tr w:rsidR="001225BB" w14:paraId="5F738EB2" w14:textId="77777777">
        <w:trPr>
          <w:cantSplit/>
          <w:tblHeader/>
          <w:jc w:val="center"/>
        </w:trPr>
        <w:tc>
          <w:tcPr>
            <w:tcW w:w="2203" w:type="dxa"/>
            <w:shd w:val="clear" w:color="auto" w:fill="343F48"/>
            <w:vAlign w:val="center"/>
          </w:tcPr>
          <w:p w14:paraId="791B9CE5" w14:textId="77777777" w:rsidR="001225BB" w:rsidRDefault="00000000">
            <w:pPr>
              <w:spacing w:after="20" w:line="245" w:lineRule="auto"/>
            </w:pPr>
            <w:r>
              <w:rPr>
                <w:b/>
                <w:color w:val="FFFFFF"/>
                <w:sz w:val="20"/>
              </w:rPr>
              <w:t>Stage</w:t>
            </w:r>
          </w:p>
        </w:tc>
        <w:tc>
          <w:tcPr>
            <w:tcW w:w="7733" w:type="dxa"/>
            <w:shd w:val="clear" w:color="auto" w:fill="343F48"/>
            <w:vAlign w:val="center"/>
          </w:tcPr>
          <w:p w14:paraId="335F05F0" w14:textId="77777777" w:rsidR="001225BB" w:rsidRDefault="00000000">
            <w:pPr>
              <w:spacing w:after="20" w:line="245" w:lineRule="auto"/>
            </w:pPr>
            <w:r>
              <w:rPr>
                <w:b/>
                <w:color w:val="FFFFFF"/>
                <w:sz w:val="20"/>
              </w:rPr>
              <w:t>Work and exit condition</w:t>
            </w:r>
          </w:p>
        </w:tc>
      </w:tr>
      <w:tr w:rsidR="001225BB" w14:paraId="16E10980" w14:textId="77777777">
        <w:trPr>
          <w:cantSplit/>
          <w:jc w:val="center"/>
        </w:trPr>
        <w:tc>
          <w:tcPr>
            <w:tcW w:w="2203" w:type="dxa"/>
            <w:shd w:val="clear" w:color="auto" w:fill="FFFFFF"/>
            <w:vAlign w:val="center"/>
          </w:tcPr>
          <w:p w14:paraId="6F361994" w14:textId="77777777" w:rsidR="001225BB" w:rsidRDefault="00000000">
            <w:pPr>
              <w:spacing w:after="20" w:line="245" w:lineRule="auto"/>
            </w:pPr>
            <w:r>
              <w:rPr>
                <w:b/>
                <w:sz w:val="20"/>
              </w:rPr>
              <w:t>1  Specify the contract</w:t>
            </w:r>
          </w:p>
        </w:tc>
        <w:tc>
          <w:tcPr>
            <w:tcW w:w="7733" w:type="dxa"/>
            <w:shd w:val="clear" w:color="auto" w:fill="FFFFFF"/>
            <w:vAlign w:val="center"/>
          </w:tcPr>
          <w:p w14:paraId="09803795" w14:textId="77777777" w:rsidR="001225BB" w:rsidRDefault="00000000">
            <w:pPr>
              <w:spacing w:after="20" w:line="245" w:lineRule="auto"/>
            </w:pPr>
            <w:r>
              <w:rPr>
                <w:sz w:val="20"/>
              </w:rPr>
              <w:t>Choose one protected effect and its threat model. Define exact authorization, revocation, budget, replay and recovery behavior. Build adversarial tests around the effect, including alternate paths.</w:t>
            </w:r>
          </w:p>
        </w:tc>
      </w:tr>
      <w:tr w:rsidR="001225BB" w14:paraId="2BC93349" w14:textId="77777777">
        <w:trPr>
          <w:cantSplit/>
          <w:jc w:val="center"/>
        </w:trPr>
        <w:tc>
          <w:tcPr>
            <w:tcW w:w="2203" w:type="dxa"/>
            <w:shd w:val="clear" w:color="auto" w:fill="F5F6F7"/>
            <w:vAlign w:val="center"/>
          </w:tcPr>
          <w:p w14:paraId="52363A15" w14:textId="77777777" w:rsidR="001225BB" w:rsidRDefault="00000000">
            <w:pPr>
              <w:spacing w:after="20" w:line="245" w:lineRule="auto"/>
            </w:pPr>
            <w:r>
              <w:rPr>
                <w:b/>
                <w:sz w:val="20"/>
              </w:rPr>
              <w:t>2  Prove a hardware prototype</w:t>
            </w:r>
          </w:p>
        </w:tc>
        <w:tc>
          <w:tcPr>
            <w:tcW w:w="7733" w:type="dxa"/>
            <w:shd w:val="clear" w:color="auto" w:fill="F5F6F7"/>
            <w:vAlign w:val="center"/>
          </w:tcPr>
          <w:p w14:paraId="055F1585" w14:textId="77777777" w:rsidR="001225BB" w:rsidRDefault="00000000">
            <w:pPr>
              <w:spacing w:after="20" w:line="245" w:lineRule="auto"/>
            </w:pPr>
            <w:r>
              <w:rPr>
                <w:sz w:val="20"/>
              </w:rPr>
              <w:t>Use an FPGA or suitable protected controller with one real enforcing endpoint. Demonstrate that hostile host software cannot cause the effect without authorization. Measure complete-path cost and failure behavior.</w:t>
            </w:r>
          </w:p>
        </w:tc>
      </w:tr>
      <w:tr w:rsidR="001225BB" w14:paraId="53E64797" w14:textId="77777777">
        <w:trPr>
          <w:cantSplit/>
          <w:jc w:val="center"/>
        </w:trPr>
        <w:tc>
          <w:tcPr>
            <w:tcW w:w="2203" w:type="dxa"/>
            <w:shd w:val="clear" w:color="auto" w:fill="FFFFFF"/>
            <w:vAlign w:val="center"/>
          </w:tcPr>
          <w:p w14:paraId="60C13230" w14:textId="77777777" w:rsidR="001225BB" w:rsidRDefault="00000000">
            <w:pPr>
              <w:spacing w:after="20" w:line="245" w:lineRule="auto"/>
            </w:pPr>
            <w:r>
              <w:rPr>
                <w:b/>
                <w:sz w:val="20"/>
              </w:rPr>
              <w:t>3  Integrate one server</w:t>
            </w:r>
          </w:p>
        </w:tc>
        <w:tc>
          <w:tcPr>
            <w:tcW w:w="7733" w:type="dxa"/>
            <w:shd w:val="clear" w:color="auto" w:fill="FFFFFF"/>
            <w:vAlign w:val="center"/>
          </w:tcPr>
          <w:p w14:paraId="6EAF3DE4" w14:textId="77777777" w:rsidR="001225BB" w:rsidRDefault="00000000">
            <w:pPr>
              <w:spacing w:after="20" w:line="245" w:lineRule="auto"/>
            </w:pPr>
            <w:r>
              <w:rPr>
                <w:sz w:val="20"/>
              </w:rPr>
              <w:t>Select an exact OEM platform and module route. Establish electrical, mechanical and management compatibility, power and fault behavior, and any dedicated inhibition path. Validate the assembled system.</w:t>
            </w:r>
          </w:p>
        </w:tc>
      </w:tr>
      <w:tr w:rsidR="001225BB" w14:paraId="58B587FD" w14:textId="77777777">
        <w:trPr>
          <w:cantSplit/>
          <w:jc w:val="center"/>
        </w:trPr>
        <w:tc>
          <w:tcPr>
            <w:tcW w:w="2203" w:type="dxa"/>
            <w:shd w:val="clear" w:color="auto" w:fill="F5F6F7"/>
            <w:vAlign w:val="center"/>
          </w:tcPr>
          <w:p w14:paraId="44555E1F" w14:textId="77777777" w:rsidR="001225BB" w:rsidRDefault="00000000">
            <w:pPr>
              <w:spacing w:after="20" w:line="245" w:lineRule="auto"/>
            </w:pPr>
            <w:r>
              <w:rPr>
                <w:b/>
                <w:sz w:val="20"/>
              </w:rPr>
              <w:t>4  Justify the ASIC</w:t>
            </w:r>
          </w:p>
        </w:tc>
        <w:tc>
          <w:tcPr>
            <w:tcW w:w="7733" w:type="dxa"/>
            <w:shd w:val="clear" w:color="auto" w:fill="F5F6F7"/>
            <w:vAlign w:val="center"/>
          </w:tcPr>
          <w:p w14:paraId="1A08A52E" w14:textId="77777777" w:rsidR="001225BB" w:rsidRDefault="00000000">
            <w:pPr>
              <w:spacing w:after="20" w:line="245" w:lineRule="auto"/>
            </w:pPr>
            <w:r>
              <w:rPr>
                <w:sz w:val="20"/>
              </w:rPr>
              <w:t>Move to custom silicon when the stable control contract and measured deployment requirements justify it. Establish why existing security hardware is insufficient on cost, integration, performance or assurance.</w:t>
            </w:r>
          </w:p>
        </w:tc>
      </w:tr>
    </w:tbl>
    <w:p w14:paraId="472ECA2E" w14:textId="77777777" w:rsidR="001225BB" w:rsidRDefault="001225BB">
      <w:pPr>
        <w:spacing w:after="0"/>
      </w:pPr>
    </w:p>
    <w:p w14:paraId="690F154F" w14:textId="77777777" w:rsidR="001225BB" w:rsidRDefault="00000000">
      <w:pPr>
        <w:pStyle w:val="Heading2"/>
      </w:pPr>
      <w:r>
        <w:t>Keep the trusted core small enough to examine</w:t>
      </w:r>
    </w:p>
    <w:p w14:paraId="02B1664C" w14:textId="77777777" w:rsidR="001225BB" w:rsidRDefault="00000000">
      <w:r>
        <w:t>The governor should implement explicit checks and controlled state transitions. We should resist turning it into another opaque model or a general-purpose policy engine that nobody can review. Complex judgments can remain outside the core, but their authorized decisions must arrive in a form the core can check, bind and enforce.</w:t>
      </w:r>
    </w:p>
    <w:p w14:paraId="6AAE28FB" w14:textId="77777777" w:rsidR="001225BB" w:rsidRDefault="00000000">
      <w:pPr>
        <w:pStyle w:val="Heading2"/>
      </w:pPr>
      <w:r>
        <w:t>Know what remains outside the promise</w:t>
      </w:r>
    </w:p>
    <w:p w14:paraId="366707F1" w14:textId="77777777" w:rsidR="001225BB" w:rsidRDefault="00000000">
      <w:r>
        <w:t>The chip cannot repair a bad policy, guarantee that an observer understands an action or stop every authorized insider. It cannot control copies of released weights running outside a governed deployment, or effects that retain an ungoverned route. A physical attacker, a compromised trust root or an OEM override may require additional defenses or an explicitly narrower threat model. We must state those boundaries before selling the guarantee.</w:t>
      </w:r>
    </w:p>
    <w:p w14:paraId="29A88277" w14:textId="77777777" w:rsidR="001225BB" w:rsidRDefault="00000000">
      <w:pPr>
        <w:pStyle w:val="Heading2"/>
      </w:pPr>
      <w:r>
        <w:t>The destination</w:t>
      </w:r>
    </w:p>
    <w:p w14:paraId="40A1E7DF" w14:textId="77777777" w:rsidR="001225BB" w:rsidRDefault="00000000">
      <w:r>
        <w:t>We want a module an OEM can qualify and a customer can deploy with a documented reason to trust its refusal. The server should expose a defined integration point. The governor should enforce a specific contract. The operator should know who owns policy, what happens on failure and how to restore service without quietly bypassing the system.</w:t>
      </w:r>
    </w:p>
    <w:p w14:paraId="1E492B48" w14:textId="77777777" w:rsidR="001225BB" w:rsidRDefault="00000000">
      <w:pPr>
        <w:spacing w:after="0"/>
      </w:pPr>
      <w:r>
        <w:rPr>
          <w:b/>
        </w:rPr>
        <w:t>That is the aspiration: our chip inside a real NVIDIA-powered server, with the authority to withhold a protected effect. We get there by proving that the refusal survives the hostile conditions we name. A photograph of a board with our logo on it would be easy. A boundary the host cannot talk its way around is the work.</w:t>
      </w:r>
    </w:p>
    <w:p w14:paraId="780E37C1" w14:textId="77777777" w:rsidR="001225BB" w:rsidRDefault="00000000">
      <w:r>
        <w:br w:type="page"/>
      </w:r>
    </w:p>
    <w:p w14:paraId="547DD5B5" w14:textId="77777777" w:rsidR="001225BB" w:rsidRDefault="00000000">
      <w:pPr>
        <w:pStyle w:val="Heading1"/>
      </w:pPr>
      <w:r>
        <w:lastRenderedPageBreak/>
        <w:t>Sources and image credits</w:t>
      </w:r>
    </w:p>
    <w:p w14:paraId="7A7C5E7C" w14:textId="77777777" w:rsidR="001225BB" w:rsidRDefault="00000000">
      <w:r>
        <w:rPr>
          <w:sz w:val="21"/>
        </w:rPr>
        <w:t>Manufacturer material establishes the reference hardware layouts and interface descriptions below. It does not establish compatibility, available capacity, vendor endorsement or the authority of the proposed Safety Governor. The proposed architecture, requirements and development path are ours.</w:t>
      </w:r>
    </w:p>
    <w:p w14:paraId="1041C42B" w14:textId="77777777" w:rsidR="001225BB" w:rsidRDefault="00000000">
      <w:pPr>
        <w:keepNext/>
        <w:spacing w:after="40"/>
      </w:pPr>
      <w:r>
        <w:rPr>
          <w:b/>
          <w:sz w:val="20"/>
        </w:rPr>
        <w:t>[1]  NIST. Artificial Intelligence Risk Management Framework Generative Artificial Intelligence Profile.</w:t>
      </w:r>
    </w:p>
    <w:p w14:paraId="460F6888" w14:textId="77777777" w:rsidR="001225BB" w:rsidRDefault="00000000">
      <w:pPr>
        <w:keepNext/>
        <w:spacing w:after="40"/>
      </w:pPr>
      <w:r>
        <w:rPr>
          <w:sz w:val="19"/>
        </w:rPr>
        <w:t>Published July 2024. General grounding for risk management across design, development, use and evaluation. The six-layer arrangement in this draft is our own.</w:t>
      </w:r>
    </w:p>
    <w:p w14:paraId="582A0B1D" w14:textId="77777777" w:rsidR="001225BB" w:rsidRDefault="00000000">
      <w:pPr>
        <w:spacing w:after="180"/>
      </w:pPr>
      <w:hyperlink r:id="rId13">
        <w:r>
          <w:rPr>
            <w:color w:val="24536B"/>
            <w:u w:val="single"/>
          </w:rPr>
          <w:t>NIST publication page</w:t>
        </w:r>
      </w:hyperlink>
    </w:p>
    <w:p w14:paraId="5FF92BFA" w14:textId="77777777" w:rsidR="001225BB" w:rsidRDefault="00000000">
      <w:pPr>
        <w:keepNext/>
        <w:spacing w:after="40"/>
      </w:pPr>
      <w:r>
        <w:rPr>
          <w:b/>
          <w:sz w:val="20"/>
        </w:rPr>
        <w:t>[2]  Supermicro. G1SMH-G motherboard.</w:t>
      </w:r>
    </w:p>
    <w:p w14:paraId="75190ADB" w14:textId="77777777" w:rsidR="001225BB" w:rsidRDefault="00000000">
      <w:pPr>
        <w:keepNext/>
        <w:spacing w:after="40"/>
      </w:pPr>
      <w:r>
        <w:rPr>
          <w:sz w:val="19"/>
        </w:rPr>
        <w:t>Product description and the original bare-board photograph reproduced in Figure 2. The product page identifies Grace Hopper support, the Intel FPGA and DC-SCM support.</w:t>
      </w:r>
    </w:p>
    <w:p w14:paraId="5CC2691F" w14:textId="77777777" w:rsidR="001225BB" w:rsidRDefault="00000000">
      <w:pPr>
        <w:spacing w:after="180"/>
      </w:pPr>
      <w:hyperlink r:id="rId14">
        <w:r>
          <w:rPr>
            <w:color w:val="24536B"/>
            <w:u w:val="single"/>
          </w:rPr>
          <w:t>Product page</w:t>
        </w:r>
      </w:hyperlink>
      <w:r>
        <w:rPr>
          <w:sz w:val="19"/>
        </w:rPr>
        <w:t xml:space="preserve">  |  </w:t>
      </w:r>
      <w:hyperlink r:id="rId15">
        <w:r>
          <w:rPr>
            <w:color w:val="24536B"/>
            <w:u w:val="single"/>
          </w:rPr>
          <w:t>Original image</w:t>
        </w:r>
      </w:hyperlink>
    </w:p>
    <w:p w14:paraId="2947A3F4" w14:textId="77777777" w:rsidR="001225BB" w:rsidRDefault="00000000">
      <w:pPr>
        <w:keepNext/>
        <w:spacing w:after="40"/>
      </w:pPr>
      <w:r>
        <w:rPr>
          <w:b/>
          <w:sz w:val="20"/>
        </w:rPr>
        <w:t>[3]  Supermicro. SuperServer ARS-111GL-NHR user manual MNL-2669.</w:t>
      </w:r>
    </w:p>
    <w:p w14:paraId="3C698B60" w14:textId="77777777" w:rsidR="001225BB" w:rsidRDefault="00000000">
      <w:pPr>
        <w:keepNext/>
        <w:spacing w:after="40"/>
      </w:pPr>
      <w:r>
        <w:rPr>
          <w:sz w:val="19"/>
        </w:rPr>
        <w:t>Motherboard tray top view and board layout. PDF pages 8 and 9, printed pages 14–17. The layout identifies JBMC1 as the BMC DC-SCM module card connector and identifies the CPU1 and GPU1 connectors.</w:t>
      </w:r>
    </w:p>
    <w:p w14:paraId="3814C382" w14:textId="77777777" w:rsidR="001225BB" w:rsidRDefault="00000000">
      <w:pPr>
        <w:spacing w:after="180"/>
      </w:pPr>
      <w:hyperlink r:id="rId16" w:anchor="page=9">
        <w:r>
          <w:rPr>
            <w:color w:val="24536B"/>
            <w:u w:val="single"/>
          </w:rPr>
          <w:t>Manual and connector layout</w:t>
        </w:r>
      </w:hyperlink>
    </w:p>
    <w:p w14:paraId="0F9D1FB5" w14:textId="77777777" w:rsidR="001225BB" w:rsidRDefault="00000000">
      <w:pPr>
        <w:keepNext/>
        <w:spacing w:after="40"/>
      </w:pPr>
      <w:r>
        <w:rPr>
          <w:b/>
          <w:sz w:val="20"/>
        </w:rPr>
        <w:t>[4]  NVIDIA. DGX B200 User Guide Introduction to DGX B200.</w:t>
      </w:r>
    </w:p>
    <w:p w14:paraId="19D60F30" w14:textId="77777777" w:rsidR="001225BB" w:rsidRDefault="00000000">
      <w:pPr>
        <w:keepNext/>
        <w:spacing w:after="40"/>
      </w:pPr>
      <w:r>
        <w:rPr>
          <w:sz w:val="19"/>
        </w:rPr>
        <w:t>Motherboard Tray Components and GPU Tray Components. Original labeled illustrations reproduced in Figures 3 and 4. The source distinguishes the CPU and memory tray from the GPU tray.</w:t>
      </w:r>
    </w:p>
    <w:p w14:paraId="44117343" w14:textId="77777777" w:rsidR="001225BB" w:rsidRDefault="00000000">
      <w:pPr>
        <w:spacing w:after="180"/>
      </w:pPr>
      <w:hyperlink r:id="rId17">
        <w:r>
          <w:rPr>
            <w:color w:val="24536B"/>
            <w:u w:val="single"/>
          </w:rPr>
          <w:t>User guide and tray images</w:t>
        </w:r>
      </w:hyperlink>
    </w:p>
    <w:p w14:paraId="6C7FAE79" w14:textId="77777777" w:rsidR="001225BB" w:rsidRDefault="00000000">
      <w:pPr>
        <w:keepNext/>
        <w:spacing w:after="40"/>
      </w:pPr>
      <w:r>
        <w:rPr>
          <w:b/>
          <w:sz w:val="20"/>
        </w:rPr>
        <w:t>[5]  Open Compute Project. Flex Secure Control Module DC-SCM 2.0 Model SCM202A.</w:t>
      </w:r>
    </w:p>
    <w:p w14:paraId="79554FB0" w14:textId="77777777" w:rsidR="001225BB" w:rsidRDefault="00000000">
      <w:pPr>
        <w:keepNext/>
        <w:spacing w:after="40"/>
      </w:pPr>
      <w:r>
        <w:rPr>
          <w:sz w:val="19"/>
        </w:rPr>
        <w:t>Reference example of the DC-SCM management, security and control module category. It is not a compatibility claim for our design or for the photographed Supermicro board.</w:t>
      </w:r>
    </w:p>
    <w:p w14:paraId="58DF1D2E" w14:textId="77777777" w:rsidR="001225BB" w:rsidRDefault="00000000">
      <w:pPr>
        <w:spacing w:after="180"/>
      </w:pPr>
      <w:hyperlink r:id="rId18">
        <w:r>
          <w:rPr>
            <w:color w:val="24536B"/>
            <w:u w:val="single"/>
          </w:rPr>
          <w:t>OCP module reference</w:t>
        </w:r>
      </w:hyperlink>
    </w:p>
    <w:p w14:paraId="026F4C80" w14:textId="77777777" w:rsidR="001225BB" w:rsidRDefault="00000000">
      <w:pPr>
        <w:keepNext/>
        <w:spacing w:after="40"/>
      </w:pPr>
      <w:r>
        <w:rPr>
          <w:b/>
          <w:sz w:val="20"/>
        </w:rPr>
        <w:t>[6]  Project baseline. Safety Governor.</w:t>
      </w:r>
    </w:p>
    <w:p w14:paraId="02D6755D" w14:textId="77777777" w:rsidR="001225BB" w:rsidRDefault="00000000">
      <w:pPr>
        <w:keepNext/>
        <w:spacing w:after="40"/>
      </w:pPr>
      <w:r>
        <w:rPr>
          <w:sz w:val="19"/>
        </w:rPr>
        <w:t>Reference snapshot for project context at commit 7ad4615f7ef1f69cc6925ddae9bd242f5f25c2ca. Citing the work does not assert that the acceptance conditions in this document are satisfied.</w:t>
      </w:r>
    </w:p>
    <w:p w14:paraId="7861205D" w14:textId="77777777" w:rsidR="001225BB" w:rsidRDefault="00000000">
      <w:pPr>
        <w:spacing w:after="180"/>
      </w:pPr>
      <w:hyperlink r:id="rId19">
        <w:r>
          <w:rPr>
            <w:color w:val="24536B"/>
            <w:u w:val="single"/>
          </w:rPr>
          <w:t>Safety Governor reference snapshot</w:t>
        </w:r>
      </w:hyperlink>
    </w:p>
    <w:p w14:paraId="41238DBC" w14:textId="77777777" w:rsidR="001225BB" w:rsidRDefault="00000000">
      <w:pPr>
        <w:keepNext/>
        <w:spacing w:after="40"/>
      </w:pPr>
      <w:r>
        <w:rPr>
          <w:b/>
          <w:sz w:val="20"/>
        </w:rPr>
        <w:t>[7]  Project baseline. Hardware and Silicon.</w:t>
      </w:r>
    </w:p>
    <w:p w14:paraId="0C014489" w14:textId="77777777" w:rsidR="001225BB" w:rsidRDefault="00000000">
      <w:pPr>
        <w:keepNext/>
        <w:spacing w:after="40"/>
      </w:pPr>
      <w:r>
        <w:rPr>
          <w:sz w:val="19"/>
        </w:rPr>
        <w:t>Reference snapshot for project context at commit 50702701175cfbe41150f2cab67bc60b914199a0. This aspiration describes a proposed destination, not a new verification of the repository.</w:t>
      </w:r>
    </w:p>
    <w:p w14:paraId="27AEEA14" w14:textId="77777777" w:rsidR="001225BB" w:rsidRDefault="00000000">
      <w:pPr>
        <w:spacing w:after="180"/>
      </w:pPr>
      <w:hyperlink r:id="rId20">
        <w:r>
          <w:rPr>
            <w:color w:val="24536B"/>
            <w:u w:val="single"/>
          </w:rPr>
          <w:t>Hardware and Silicon reference snapshot</w:t>
        </w:r>
      </w:hyperlink>
    </w:p>
    <w:p w14:paraId="7C56BE7B" w14:textId="77777777" w:rsidR="001225BB" w:rsidRDefault="00000000">
      <w:pPr>
        <w:spacing w:after="0"/>
      </w:pPr>
      <w:r>
        <w:rPr>
          <w:sz w:val="19"/>
        </w:rPr>
        <w:t>Figures 1 and 5 are original conceptual diagrams created for this draft. They show proposed roles and relationships only. No board dimensions, connector pin assignments, routing, throughput, timing, power or silicon area are specified.</w:t>
      </w:r>
    </w:p>
    <w:sectPr w:rsidR="001225BB" w:rsidSect="00034616">
      <w:headerReference w:type="default" r:id="rId21"/>
      <w:footerReference w:type="default" r:id="rId22"/>
      <w:pgSz w:w="12240" w:h="15840"/>
      <w:pgMar w:top="965" w:right="1152" w:bottom="950" w:left="1152" w:header="403" w:footer="41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095503" w14:textId="77777777" w:rsidR="000E5119" w:rsidRDefault="000E5119">
      <w:pPr>
        <w:spacing w:after="0" w:line="240" w:lineRule="auto"/>
      </w:pPr>
      <w:r>
        <w:separator/>
      </w:r>
    </w:p>
  </w:endnote>
  <w:endnote w:type="continuationSeparator" w:id="0">
    <w:p w14:paraId="4A651786" w14:textId="77777777" w:rsidR="000E5119" w:rsidRDefault="000E5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7F0598" w14:textId="77777777" w:rsidR="001225BB" w:rsidRDefault="00000000">
    <w:pPr>
      <w:pStyle w:val="Footer"/>
      <w:jc w:val="right"/>
    </w:pPr>
    <w:r>
      <w:rPr>
        <w:sz w:val="16"/>
      </w:rPr>
      <w:t xml:space="preserve">Working draft  |  </w:t>
    </w:r>
    <w:r>
      <w:fldChar w:fldCharType="begin"/>
    </w:r>
    <w:r>
      <w:instrText>PAGE</w:instrText>
    </w:r>
    <w:r>
      <w:fldChar w:fldCharType="separate"/>
    </w:r>
    <w:r w:rsidR="00946BE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6FA1A5" w14:textId="77777777" w:rsidR="000E5119" w:rsidRDefault="000E5119">
      <w:pPr>
        <w:spacing w:after="0" w:line="240" w:lineRule="auto"/>
      </w:pPr>
      <w:r>
        <w:separator/>
      </w:r>
    </w:p>
  </w:footnote>
  <w:footnote w:type="continuationSeparator" w:id="0">
    <w:p w14:paraId="3972B462" w14:textId="77777777" w:rsidR="000E5119" w:rsidRDefault="000E51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C40723" w14:textId="77777777" w:rsidR="001225BB" w:rsidRDefault="00000000">
    <w:pPr>
      <w:pStyle w:val="Header"/>
    </w:pPr>
    <w:r>
      <w:rPr>
        <w:sz w:val="16"/>
      </w:rPr>
      <w:t>ASPIRATION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7648076">
    <w:abstractNumId w:val="8"/>
  </w:num>
  <w:num w:numId="2" w16cid:durableId="713846570">
    <w:abstractNumId w:val="6"/>
  </w:num>
  <w:num w:numId="3" w16cid:durableId="1036194062">
    <w:abstractNumId w:val="5"/>
  </w:num>
  <w:num w:numId="4" w16cid:durableId="166023872">
    <w:abstractNumId w:val="4"/>
  </w:num>
  <w:num w:numId="5" w16cid:durableId="1296250307">
    <w:abstractNumId w:val="7"/>
  </w:num>
  <w:num w:numId="6" w16cid:durableId="1819180211">
    <w:abstractNumId w:val="3"/>
  </w:num>
  <w:num w:numId="7" w16cid:durableId="488864433">
    <w:abstractNumId w:val="2"/>
  </w:num>
  <w:num w:numId="8" w16cid:durableId="40523122">
    <w:abstractNumId w:val="1"/>
  </w:num>
  <w:num w:numId="9" w16cid:durableId="14371411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CF3"/>
    <w:rsid w:val="00034616"/>
    <w:rsid w:val="0006063C"/>
    <w:rsid w:val="000E5119"/>
    <w:rsid w:val="001225BB"/>
    <w:rsid w:val="0015074B"/>
    <w:rsid w:val="0029639D"/>
    <w:rsid w:val="00326F90"/>
    <w:rsid w:val="00946B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7C38BA"/>
  <w14:defaultImageDpi w14:val="300"/>
  <w15:docId w15:val="{A3ECED84-BFE0-364E-A566-B0A500FB2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0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ist.gov/publications/artificial-intelligence-risk-management-framework-generative-artificial-intelligence" TargetMode="External"/><Relationship Id="rId18" Type="http://schemas.openxmlformats.org/officeDocument/2006/relationships/hyperlink" Target="https://www.opencompute.org/marketplace/it-infrastructure/flex-secure-control-module-dc-scm-2-0-model-scm202a/"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nvidia.com/dgx/dgxb200-user-guide/introduction-to-dgxb200.html" TargetMode="External"/><Relationship Id="rId2" Type="http://schemas.openxmlformats.org/officeDocument/2006/relationships/numbering" Target="numbering.xml"/><Relationship Id="rId16" Type="http://schemas.openxmlformats.org/officeDocument/2006/relationships/hyperlink" Target="https://www.supermicro.com/manuals/superserver/1U/MNL-2669.pdf" TargetMode="External"/><Relationship Id="rId20" Type="http://schemas.openxmlformats.org/officeDocument/2006/relationships/hyperlink" Target="https://github.com/YobieBenjamin/hardware-and-silicon/tree/50702701175cfbe41150f2cab67bc60b914199a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upermicro.com/files_SYS/images/Motherboard/G1SMH-G.jpg"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github.com/YobieBenjamin/safety-governor/tree/7ad4615f7ef1f69cc6925ddae9bd242f5f25c2ca"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supermicro.com/en/products/motherboard/g1smh-g"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2870</Words>
  <Characters>16648</Characters>
  <Application>Microsoft Office Word</Application>
  <DocSecurity>0</DocSecurity>
  <Lines>320</Lines>
  <Paragraphs>172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ASPIRATION</dc:title>
  <dc:subject>An independent hardware boundary for AI actions in NVIDIA powered servers</dc:subject>
  <dc:creator>Yobie Benjamin</dc:creator>
  <cp:keywords>Safety Governor, AI safety, hardware enforcement, NVIDIA, Supermicro, aspiration</cp:keywords>
  <dc:description>Working draft. Proposed architecture and placement, not a validated hardware design.</dc:description>
  <cp:lastModifiedBy>Yobie Benjamin</cp:lastModifiedBy>
  <cp:revision>2</cp:revision>
  <dcterms:created xsi:type="dcterms:W3CDTF">2013-12-23T23:15:00Z</dcterms:created>
  <dcterms:modified xsi:type="dcterms:W3CDTF">2026-10-23T22:56:00Z</dcterms:modified>
  <cp:category/>
</cp:coreProperties>
</file>