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64.png" ContentType="image/png"/>
  <Override PartName="/word/media/rId28.png" ContentType="image/png"/>
  <Override PartName="/word/media/rId6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2026-10-13</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p>
    <w:bookmarkStart w:id="20" w:name="contents"/>
    <w:p>
      <w:pPr>
        <w:pStyle w:val="Heading1"/>
      </w:pPr>
      <w:r>
        <w:t xml:space="preserve">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14"/>
        </w:numPr>
        <w:pStyle w:val="Compact"/>
      </w:pPr>
      <w:hyperlink w:anchor="the-flow">
        <w:r>
          <w:rPr>
            <w:rStyle w:val="Hyperlink"/>
          </w:rPr>
          <w:t xml:space="preserve">The flow</w:t>
        </w:r>
      </w:hyperlink>
    </w:p>
    <w:p>
      <w:pPr>
        <w:numPr>
          <w:ilvl w:val="1"/>
          <w:numId w:val="1014"/>
        </w:numPr>
        <w:pStyle w:val="Compact"/>
      </w:pPr>
      <w:hyperlink w:anchor="pinout">
        <w:r>
          <w:rPr>
            <w:rStyle w:val="Hyperlink"/>
          </w:rPr>
          <w:t xml:space="preserve">Pinout</w:t>
        </w:r>
      </w:hyperlink>
    </w:p>
    <w:p>
      <w:pPr>
        <w:numPr>
          <w:ilvl w:val="1"/>
          <w:numId w:val="101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15"/>
        </w:numPr>
        <w:pStyle w:val="Compact"/>
      </w:pPr>
      <w:hyperlink w:anchor="X5604b8c0c2b63bd908d394349c4ee25dec5dddf">
        <w:r>
          <w:rPr>
            <w:rStyle w:val="Hyperlink"/>
          </w:rPr>
          <w:t xml:space="preserve">1. Where the module sits</w:t>
        </w:r>
      </w:hyperlink>
    </w:p>
    <w:p>
      <w:pPr>
        <w:numPr>
          <w:ilvl w:val="1"/>
          <w:numId w:val="1015"/>
        </w:numPr>
        <w:pStyle w:val="Compact"/>
      </w:pPr>
      <w:hyperlink w:anchor="X7e4a3496dc21189705b45baa6252865027bf594">
        <w:r>
          <w:rPr>
            <w:rStyle w:val="Hyperlink"/>
          </w:rPr>
          <w:t xml:space="preserve">2. Per GPU slot (× 8 on an HGX baseboard)</w:t>
        </w:r>
      </w:hyperlink>
    </w:p>
    <w:p>
      <w:pPr>
        <w:numPr>
          <w:ilvl w:val="1"/>
          <w:numId w:val="1015"/>
        </w:numPr>
        <w:pStyle w:val="Compact"/>
      </w:pPr>
      <w:hyperlink w:anchor="Xe94356be594d70e0943a04e53715e8460ca30e9">
        <w:r>
          <w:rPr>
            <w:rStyle w:val="Hyperlink"/>
          </w:rPr>
          <w:t xml:space="preserve">3. Switch management buses</w:t>
        </w:r>
      </w:hyperlink>
    </w:p>
    <w:p>
      <w:pPr>
        <w:numPr>
          <w:ilvl w:val="1"/>
          <w:numId w:val="1015"/>
        </w:numPr>
        <w:pStyle w:val="Compact"/>
      </w:pPr>
      <w:hyperlink w:anchor="X18644beb0b4c586b6e925b4ca7d55a4ba6ba698">
        <w:r>
          <w:rPr>
            <w:rStyle w:val="Hyperlink"/>
          </w:rPr>
          <w:t xml:space="preserve">4. The two cluster wires</w:t>
        </w:r>
      </w:hyperlink>
    </w:p>
    <w:p>
      <w:pPr>
        <w:numPr>
          <w:ilvl w:val="1"/>
          <w:numId w:val="1015"/>
        </w:numPr>
        <w:pStyle w:val="Compact"/>
      </w:pPr>
      <w:hyperlink w:anchor="Xf1ccccdc2f3bd8477ccbfd30af19003fe510e47">
        <w:r>
          <w:rPr>
            <w:rStyle w:val="Hyperlink"/>
          </w:rPr>
          <w:t xml:space="preserve">5. Power-on sequence</w:t>
        </w:r>
      </w:hyperlink>
    </w:p>
    <w:p>
      <w:pPr>
        <w:numPr>
          <w:ilvl w:val="1"/>
          <w:numId w:val="101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16"/>
        </w:numPr>
        <w:pStyle w:val="Compact"/>
      </w:pPr>
      <w:hyperlink w:anchor="X592630e837ce97f0cadfb4b054635a23e91ec0a">
        <w:r>
          <w:rPr>
            <w:rStyle w:val="Hyperlink"/>
          </w:rPr>
          <w:t xml:space="preserve">1. The second pass: what the first pass got wrong</w:t>
        </w:r>
      </w:hyperlink>
    </w:p>
    <w:p>
      <w:pPr>
        <w:numPr>
          <w:ilvl w:val="1"/>
          <w:numId w:val="1016"/>
        </w:numPr>
        <w:pStyle w:val="Compact"/>
      </w:pPr>
      <w:hyperlink w:anchor="Xf2f8167026369d43792d81f82b6607437010cad">
        <w:r>
          <w:rPr>
            <w:rStyle w:val="Hyperlink"/>
          </w:rPr>
          <w:t xml:space="preserve">2. The second pass: the model and the RTL against their own documentation</w:t>
        </w:r>
      </w:hyperlink>
    </w:p>
    <w:p>
      <w:pPr>
        <w:numPr>
          <w:ilvl w:val="1"/>
          <w:numId w:val="1016"/>
        </w:numPr>
        <w:pStyle w:val="Compact"/>
      </w:pPr>
      <w:hyperlink w:anchor="X76c9e0f8b296f1b84e39b235ecc78b20010b7f6">
        <w:r>
          <w:rPr>
            <w:rStyle w:val="Hyperlink"/>
          </w:rPr>
          <w:t xml:space="preserve">3. The first pass: hallucinations found and corrected (still standing)</w:t>
        </w:r>
      </w:hyperlink>
    </w:p>
    <w:p>
      <w:pPr>
        <w:numPr>
          <w:ilvl w:val="1"/>
          <w:numId w:val="1016"/>
        </w:numPr>
        <w:pStyle w:val="Compact"/>
      </w:pPr>
      <w:hyperlink w:anchor="X2edcf6b0c2352559acee5f07be8bf9b56489b7e">
        <w:r>
          <w:rPr>
            <w:rStyle w:val="Hyperlink"/>
          </w:rPr>
          <w:t xml:space="preserve">4. What was verified and against what</w:t>
        </w:r>
      </w:hyperlink>
    </w:p>
    <w:p>
      <w:pPr>
        <w:numPr>
          <w:ilvl w:val="1"/>
          <w:numId w:val="1016"/>
        </w:numPr>
        <w:pStyle w:val="Compact"/>
      </w:pPr>
      <w:hyperlink w:anchor="X9e804d9b2afbeb81fb10d3a1cf3d0db637a6e33">
        <w:r>
          <w:rPr>
            <w:rStyle w:val="Hyperlink"/>
          </w:rPr>
          <w:t xml:space="preserve">5. Still unverified: targets, estimates and asks, not facts</w:t>
        </w:r>
      </w:hyperlink>
    </w:p>
    <w:p>
      <w:pPr>
        <w:numPr>
          <w:ilvl w:val="1"/>
          <w:numId w:val="101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17"/>
        </w:numPr>
        <w:pStyle w:val="Compact"/>
      </w:pPr>
      <w:hyperlink w:anchor="modelled-cost-h9">
        <w:r>
          <w:rPr>
            <w:rStyle w:val="Hyperlink"/>
          </w:rPr>
          <w:t xml:space="preserve">Modelled cost (H9)</w:t>
        </w:r>
      </w:hyperlink>
    </w:p>
    <w:p>
      <w:pPr>
        <w:numPr>
          <w:ilvl w:val="1"/>
          <w:numId w:val="1017"/>
        </w:numPr>
        <w:pStyle w:val="Compact"/>
      </w:pPr>
      <w:hyperlink w:anchor="what-the-gaps-mean">
        <w:r>
          <w:rPr>
            <w:rStyle w:val="Hyperlink"/>
          </w:rPr>
          <w:t xml:space="preserve">What the gaps mean</w:t>
        </w:r>
      </w:hyperlink>
    </w:p>
    <w:p>
      <w:r>
        <w:br w:type="page"/>
      </w:r>
    </w:p>
    <w:bookmarkEnd w:id="20"/>
    <w:bookmarkStart w:id="47"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1">
        <w:r>
          <w:rPr>
            <w:rStyle w:val="Hyperlink"/>
            <w:iCs/>
            <w:i/>
          </w:rPr>
          <w:t xml:space="preserve">The Chip That Says No</w:t>
        </w:r>
      </w:hyperlink>
      <w:r>
        <w:t xml:space="preserve"> </w:t>
      </w:r>
      <w:r>
        <w:t xml:space="preserve">and the reference stack in</w:t>
      </w:r>
      <w:r>
        <w:t xml:space="preserve"> </w:t>
      </w:r>
      <w:hyperlink r:id="rId22">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Every part of the design exists at two depths, and they point at each other.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BodyText"/>
      </w:pPr>
      <w:r>
        <w:drawing>
          <wp:inline>
            <wp:extent cx="5334000" cy="3692769"/>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bookmarkEnd w:id="31"/>
    <w:bookmarkStart w:id="39" w:name="what-is-in-here"/>
    <w:p>
      <w:pPr>
        <w:pStyle w:val="Heading2"/>
      </w:pPr>
      <w:r>
        <w:t xml:space="preserve">What is in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H18 (200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39"/>
    <w:bookmarkStart w:id="40"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0"/>
    <w:bookmarkStart w:id="41" w:name="every-feature-at-both-depths"/>
    <w:p>
      <w:pPr>
        <w:pStyle w:val="Heading2"/>
      </w:pPr>
      <w:r>
        <w:t xml:space="preserve">Every feature, at both depths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1"/>
    <w:bookmarkStart w:id="43"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2">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3"/>
    <w:bookmarkStart w:id="45"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4">
        <w:r>
          <w:rPr>
            <w:rStyle w:val="VerbatimChar"/>
          </w:rPr>
          <w:t xml:space="preserve">docs/AUDIT-2026-10.md</w:t>
        </w:r>
      </w:hyperlink>
      <w:r>
        <w:t xml:space="preserve">.</w:t>
      </w:r>
    </w:p>
    <w:bookmarkEnd w:id="45"/>
    <w:bookmarkStart w:id="46"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6"/>
    <w:bookmarkEnd w:id="47"/>
    <w:bookmarkStart w:id="80"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8"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8"/>
    <w:bookmarkStart w:id="54" w:name="X60466a87df8d8236a54b2b139e2555d556e0b0b"/>
    <w:p>
      <w:pPr>
        <w:pStyle w:val="Heading2"/>
      </w:pPr>
      <w:r>
        <w:t xml:space="preserve">2. Where it lives, and what is inside it</w:t>
      </w:r>
    </w:p>
    <w:p>
      <w:pPr>
        <w:pStyle w:val="FirstParagraph"/>
      </w:pPr>
      <w:r>
        <w:drawing>
          <wp:inline>
            <wp:extent cx="5334000" cy="3692769"/>
            <wp:effectExtent b="0" l="0" r="0" t="0"/>
            <wp:docPr descr="Where the governor goes" title="" id="49" name="Picture"/>
            <a:graphic>
              <a:graphicData uri="http://schemas.openxmlformats.org/drawingml/2006/picture">
                <pic:pic>
                  <pic:nvPicPr>
                    <pic:cNvPr descr="/home/claude/yobiebenjamin/safety-governor/docs/figures/fig-rack.png" id="5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BodyText"/>
      </w:pPr>
      <w:r>
        <w:drawing>
          <wp:inline>
            <wp:extent cx="5334000" cy="3897923"/>
            <wp:effectExtent b="0" l="0" r="0" t="0"/>
            <wp:docPr descr="The governor die" title="" id="52" name="Picture"/>
            <a:graphic>
              <a:graphicData uri="http://schemas.openxmlformats.org/drawingml/2006/picture">
                <pic:pic>
                  <pic:nvPicPr>
                    <pic:cNvPr descr="/home/claude/yobiebenjamin/safety-governor/docs/figures/fig-die.png" id="53" name="Picture"/>
                    <pic:cNvPicPr>
                      <a:picLocks noChangeArrowheads="1" noChangeAspect="1"/>
                    </pic:cNvPicPr>
                  </pic:nvPicPr>
                  <pic:blipFill>
                    <a:blip r:embed="rId51"/>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pPr>
      <w:r>
        <w:t xml:space="preserve">Inside the chip there are five regions:</w:t>
      </w:r>
    </w:p>
    <w:p>
      <w:pPr>
        <w:numPr>
          <w:ilvl w:val="0"/>
          <w:numId w:val="1018"/>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18"/>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18"/>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18"/>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18"/>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4"/>
    <w:bookmarkStart w:id="58" w:name="Xc624e9f0b1b2991be037c3afde1b6f12913d997"/>
    <w:p>
      <w:pPr>
        <w:pStyle w:val="Heading2"/>
      </w:pPr>
      <w:r>
        <w:t xml:space="preserve">3. How it boots, and why its keys are tied to its firmware</w:t>
      </w:r>
    </w:p>
    <w:p>
      <w:pPr>
        <w:pStyle w:val="FirstParagraph"/>
      </w:pPr>
      <w:r>
        <w:drawing>
          <wp:inline>
            <wp:extent cx="5334000" cy="2359269"/>
            <wp:effectExtent b="0" l="0" r="0" t="0"/>
            <wp:docPr descr="Boot and keys" title="" id="56" name="Picture"/>
            <a:graphic>
              <a:graphicData uri="http://schemas.openxmlformats.org/drawingml/2006/picture">
                <pic:pic>
                  <pic:nvPicPr>
                    <pic:cNvPr descr="/home/claude/yobiebenjamin/safety-governor/docs/figures/fig-boot.png" id="57" name="Picture"/>
                    <pic:cNvPicPr>
                      <a:picLocks noChangeArrowheads="1" noChangeAspect="1"/>
                    </pic:cNvPicPr>
                  </pic:nvPicPr>
                  <pic:blipFill>
                    <a:blip r:embed="rId55"/>
                    <a:stretch>
                      <a:fillRect/>
                    </a:stretch>
                  </pic:blipFill>
                  <pic:spPr bwMode="auto">
                    <a:xfrm>
                      <a:off x="0" y="0"/>
                      <a:ext cx="5334000" cy="2359269"/>
                    </a:xfrm>
                    <a:prstGeom prst="rect">
                      <a:avLst/>
                    </a:prstGeom>
                    <a:noFill/>
                    <a:ln w="9525">
                      <a:noFill/>
                      <a:headEnd/>
                      <a:tailEnd/>
                    </a:ln>
                  </pic:spPr>
                </pic:pic>
              </a:graphicData>
            </a:graphic>
          </wp:inline>
        </w:drawing>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8"/>
    <w:bookmarkStart w:id="59" w:name="Xb7cc870e6360f145f6bf978c8f489033074483f"/>
    <w:p>
      <w:pPr>
        <w:pStyle w:val="Heading2"/>
      </w:pPr>
      <w:r>
        <w:t xml:space="preserve">4. A job, from start to finish</w:t>
      </w:r>
    </w:p>
    <w:p>
      <w:pPr>
        <w:numPr>
          <w:ilvl w:val="0"/>
          <w:numId w:val="1019"/>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19"/>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19"/>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19"/>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19"/>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19"/>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19"/>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19"/>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59"/>
    <w:bookmarkStart w:id="63" w:name="Xc1cfa8cfda88ee715728a0c413b7664ef868e15"/>
    <w:p>
      <w:pPr>
        <w:pStyle w:val="Heading2"/>
      </w:pPr>
      <w:r>
        <w:t xml:space="preserve">5. How it stops a GPU</w:t>
      </w:r>
    </w:p>
    <w:p>
      <w:pPr>
        <w:pStyle w:val="FirstParagraph"/>
      </w:pPr>
      <w:r>
        <w:drawing>
          <wp:inline>
            <wp:extent cx="5334000" cy="2564423"/>
            <wp:effectExtent b="0" l="0" r="0" t="0"/>
            <wp:docPr descr="Safe mode" title="" id="61" name="Picture"/>
            <a:graphic>
              <a:graphicData uri="http://schemas.openxmlformats.org/drawingml/2006/picture">
                <pic:pic>
                  <pic:nvPicPr>
                    <pic:cNvPr descr="/home/claude/yobiebenjamin/safety-governor/docs/figures/fig-safe-mode.png" id="62" name="Picture"/>
                    <pic:cNvPicPr>
                      <a:picLocks noChangeArrowheads="1" noChangeAspect="1"/>
                    </pic:cNvPicPr>
                  </pic:nvPicPr>
                  <pic:blipFill>
                    <a:blip r:embed="rId60"/>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t xml:space="preserve">The governor has three physical levers on each GPU slot, and none of them needs the GPU's</w:t>
      </w:r>
      <w:r>
        <w:t xml:space="preserve"> </w:t>
      </w:r>
      <w:r>
        <w:t xml:space="preserve">cooperation:</w:t>
      </w:r>
    </w:p>
    <w:p>
      <w:pPr>
        <w:numPr>
          <w:ilvl w:val="0"/>
          <w:numId w:val="1020"/>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20"/>
        </w:numPr>
        <w:pStyle w:val="Compact"/>
      </w:pPr>
      <w:r>
        <w:rPr>
          <w:bCs/>
          <w:b/>
        </w:rPr>
        <w:t xml:space="preserve">Reset.</w:t>
      </w:r>
      <w:r>
        <w:t xml:space="preserve"> </w:t>
      </w:r>
      <w:r>
        <w:t xml:space="preserve">The slot's reset pin. The job is lost; the GPU is intact.</w:t>
      </w:r>
    </w:p>
    <w:p>
      <w:pPr>
        <w:numPr>
          <w:ilvl w:val="0"/>
          <w:numId w:val="1020"/>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3"/>
    <w:bookmarkStart w:id="67" w:name="X0598a5d164b0270f712768762192207af44187c"/>
    <w:p>
      <w:pPr>
        <w:pStyle w:val="Heading2"/>
      </w:pPr>
      <w:r>
        <w:t xml:space="preserve">6. The two wires</w:t>
      </w:r>
    </w:p>
    <w:p>
      <w:pPr>
        <w:pStyle w:val="FirstParagraph"/>
      </w:pPr>
      <w:r>
        <w:drawing>
          <wp:inline>
            <wp:extent cx="5334000" cy="2513134"/>
            <wp:effectExtent b="0" l="0" r="0" t="0"/>
            <wp:docPr descr="The halt loop" title="" id="65" name="Picture"/>
            <a:graphic>
              <a:graphicData uri="http://schemas.openxmlformats.org/drawingml/2006/picture">
                <pic:pic>
                  <pic:nvPicPr>
                    <pic:cNvPr descr="/home/claude/yobiebenjamin/safety-governor/docs/figures/fig-halt-loop.png" id="66" name="Picture"/>
                    <pic:cNvPicPr>
                      <a:picLocks noChangeArrowheads="1" noChangeAspect="1"/>
                    </pic:cNvPicPr>
                  </pic:nvPicPr>
                  <pic:blipFill>
                    <a:blip r:embed="rId64"/>
                    <a:stretch>
                      <a:fillRect/>
                    </a:stretch>
                  </pic:blipFill>
                  <pic:spPr bwMode="auto">
                    <a:xfrm>
                      <a:off x="0" y="0"/>
                      <a:ext cx="5334000" cy="2513134"/>
                    </a:xfrm>
                    <a:prstGeom prst="rect">
                      <a:avLst/>
                    </a:prstGeom>
                    <a:noFill/>
                    <a:ln w="9525">
                      <a:noFill/>
                      <a:headEnd/>
                      <a:tailEnd/>
                    </a:ln>
                  </pic:spPr>
                </pic:pic>
              </a:graphicData>
            </a:graphic>
          </wp:inline>
        </w:drawing>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21"/>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21"/>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21"/>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21"/>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7"/>
    <w:bookmarkStart w:id="68"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22"/>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22"/>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22"/>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22"/>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22"/>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22"/>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8"/>
    <w:bookmarkStart w:id="72" w:name="X71d249a47210271823c9afadede594a8bd7fac3"/>
    <w:p>
      <w:pPr>
        <w:pStyle w:val="Heading2"/>
      </w:pPr>
      <w:r>
        <w:t xml:space="preserve">8. The rulebook, the permission slip, and the budget</w:t>
      </w:r>
    </w:p>
    <w:p>
      <w:pPr>
        <w:pStyle w:val="FirstParagraph"/>
      </w:pPr>
      <w:r>
        <w:drawing>
          <wp:inline>
            <wp:extent cx="5334000" cy="2872153"/>
            <wp:effectExtent b="0" l="0" r="0" t="0"/>
            <wp:docPr descr="One request" title="" id="70" name="Picture"/>
            <a:graphic>
              <a:graphicData uri="http://schemas.openxmlformats.org/drawingml/2006/picture">
                <pic:pic>
                  <pic:nvPicPr>
                    <pic:cNvPr descr="/home/claude/yobiebenjamin/safety-governor/docs/figures/fig-request.png" id="71" name="Picture"/>
                    <pic:cNvPicPr>
                      <a:picLocks noChangeArrowheads="1" noChangeAspect="1"/>
                    </pic:cNvPicPr>
                  </pic:nvPicPr>
                  <pic:blipFill>
                    <a:blip r:embed="rId69"/>
                    <a:stretch>
                      <a:fillRect/>
                    </a:stretch>
                  </pic:blipFill>
                  <pic:spPr bwMode="auto">
                    <a:xfrm>
                      <a:off x="0" y="0"/>
                      <a:ext cx="5334000" cy="2872153"/>
                    </a:xfrm>
                    <a:prstGeom prst="rect">
                      <a:avLst/>
                    </a:prstGeom>
                    <a:noFill/>
                    <a:ln w="9525">
                      <a:noFill/>
                      <a:headEnd/>
                      <a:tailEnd/>
                    </a:ln>
                  </pic:spPr>
                </pic:pic>
              </a:graphicData>
            </a:graphic>
          </wp:inline>
        </w:drawing>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23"/>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23"/>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23"/>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23"/>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2"/>
    <w:bookmarkStart w:id="73"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3"/>
    <w:bookmarkStart w:id="74"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4"/>
    <w:bookmarkStart w:id="75"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5"/>
    <w:bookmarkStart w:id="76"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6"/>
    <w:bookmarkStart w:id="77"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7"/>
    <w:bookmarkStart w:id="78"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8"/>
    <w:bookmarkStart w:id="79" w:name="X692528f0a1add0340a3c3a013fdd688cfada227"/>
    <w:p>
      <w:pPr>
        <w:pStyle w:val="Heading2"/>
      </w:pPr>
      <w:r>
        <w:t xml:space="preserve">15. The honest residuals, in one place</w:t>
      </w:r>
    </w:p>
    <w:p>
      <w:pPr>
        <w:numPr>
          <w:ilvl w:val="0"/>
          <w:numId w:val="1024"/>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24"/>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24"/>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24"/>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24"/>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24"/>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24"/>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24"/>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24"/>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24"/>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79"/>
    <w:bookmarkEnd w:id="80"/>
    <w:bookmarkStart w:id="96"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1"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1"/>
    <w:bookmarkStart w:id="82" w:name="g--goals"/>
    <w:p>
      <w:pPr>
        <w:pStyle w:val="Heading2"/>
      </w:pPr>
      <w:r>
        <w:t xml:space="preserve">G · Goals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2"/>
    <w:bookmarkStart w:id="92"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3" w:name="identity-and-boot"/>
    <w:p>
      <w:pPr>
        <w:pStyle w:val="Heading3"/>
      </w:pPr>
      <w:r>
        <w:t xml:space="preserve">Identity and boot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3"/>
    <w:bookmarkStart w:id="84" w:name="policy-and-epochs"/>
    <w:p>
      <w:pPr>
        <w:pStyle w:val="Heading3"/>
      </w:pPr>
      <w:r>
        <w:t xml:space="preserve">Policy and epochs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4"/>
    <w:bookmarkStart w:id="85" w:name="authorization"/>
    <w:p>
      <w:pPr>
        <w:pStyle w:val="Heading3"/>
      </w:pPr>
      <w:r>
        <w:t xml:space="preserve">Authorization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5"/>
    <w:bookmarkStart w:id="86" w:name="attestation-and-keys"/>
    <w:p>
      <w:pPr>
        <w:pStyle w:val="Heading3"/>
      </w:pPr>
      <w:r>
        <w:t xml:space="preserve">Attestation and keys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6"/>
    <w:bookmarkStart w:id="87" w:name="enforcement-points-rack-tier"/>
    <w:p>
      <w:pPr>
        <w:pStyle w:val="Heading3"/>
      </w:pPr>
      <w:r>
        <w:t xml:space="preserve">Enforcement points (rack tier)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7"/>
    <w:bookmarkStart w:id="88" w:name="physical-levers-all-tiers"/>
    <w:p>
      <w:pPr>
        <w:pStyle w:val="Heading3"/>
      </w:pPr>
      <w:r>
        <w:t xml:space="preserve">Physical levers (all tiers)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8"/>
    <w:bookmarkStart w:id="89" w:name="fabric"/>
    <w:p>
      <w:pPr>
        <w:pStyle w:val="Heading3"/>
      </w:pPr>
      <w:r>
        <w:t xml:space="preserve">Fabric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89"/>
    <w:bookmarkStart w:id="90" w:name="provenance-and-metering"/>
    <w:p>
      <w:pPr>
        <w:pStyle w:val="Heading3"/>
      </w:pPr>
      <w:r>
        <w:t xml:space="preserve">Provenance and metering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0"/>
    <w:bookmarkStart w:id="91" w:name="cost"/>
    <w:p>
      <w:pPr>
        <w:pStyle w:val="Heading3"/>
      </w:pPr>
      <w:r>
        <w:t xml:space="preserve">Cost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1"/>
    <w:bookmarkEnd w:id="92"/>
    <w:bookmarkStart w:id="93" w:name="n--non-goals"/>
    <w:p>
      <w:pPr>
        <w:pStyle w:val="Heading2"/>
      </w:pPr>
      <w:r>
        <w:t xml:space="preserve">N · Non-goals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3"/>
    <w:bookmarkStart w:id="94"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4"/>
    <w:bookmarkStart w:id="95"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5"/>
    <w:bookmarkEnd w:id="96"/>
    <w:bookmarkStart w:id="113"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99"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FirstParagraph"/>
      </w:pPr>
      <w:r>
        <w:drawing>
          <wp:inline>
            <wp:extent cx="5334000" cy="3692769"/>
            <wp:effectExtent b="0" l="0" r="0" t="0"/>
            <wp:docPr descr="Where the governor goes in the rack" title="" id="97" name="Picture"/>
            <a:graphic>
              <a:graphicData uri="http://schemas.openxmlformats.org/drawingml/2006/picture">
                <pic:pic>
                  <pic:nvPicPr>
                    <pic:cNvPr descr="/home/claude/yobiebenjamin/safety-governor/docs/figures/fig-rack.png" id="98"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99"/>
    <w:bookmarkStart w:id="102" w:name="blocks"/>
    <w:p>
      <w:pPr>
        <w:pStyle w:val="Heading2"/>
      </w:pPr>
      <w:r>
        <w:t xml:space="preserve">Blocks</w:t>
      </w:r>
    </w:p>
    <w:p>
      <w:pPr>
        <w:pStyle w:val="FirstParagraph"/>
      </w:pPr>
      <w:r>
        <w:drawing>
          <wp:inline>
            <wp:extent cx="5334000" cy="3897923"/>
            <wp:effectExtent b="0" l="0" r="0" t="0"/>
            <wp:docPr descr="The governor die: five regions" title="" id="100" name="Picture"/>
            <a:graphic>
              <a:graphicData uri="http://schemas.openxmlformats.org/drawingml/2006/picture">
                <pic:pic>
                  <pic:nvPicPr>
                    <pic:cNvPr descr="/home/claude/yobiebenjamin/safety-governor/docs/figures/fig-die.png" id="101" name="Picture"/>
                    <pic:cNvPicPr>
                      <a:picLocks noChangeArrowheads="1" noChangeAspect="1"/>
                    </pic:cNvPicPr>
                  </pic:nvPicPr>
                  <pic:blipFill>
                    <a:blip r:embed="rId51"/>
                    <a:stretch>
                      <a:fillRect/>
                    </a:stretch>
                  </pic:blipFill>
                  <pic:spPr bwMode="auto">
                    <a:xfrm>
                      <a:off x="0" y="0"/>
                      <a:ext cx="5334000" cy="389792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2"/>
    <w:bookmarkStart w:id="103"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3"/>
    <w:bookmarkStart w:id="106"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FirstParagraph"/>
      </w:pPr>
      <w:r>
        <w:drawing>
          <wp:inline>
            <wp:extent cx="5334000" cy="2359269"/>
            <wp:effectExtent b="0" l="0" r="0" t="0"/>
            <wp:docPr descr="Boot and the DICE key chain" title="" id="104" name="Picture"/>
            <a:graphic>
              <a:graphicData uri="http://schemas.openxmlformats.org/drawingml/2006/picture">
                <pic:pic>
                  <pic:nvPicPr>
                    <pic:cNvPr descr="/home/claude/yobiebenjamin/safety-governor/docs/figures/fig-boot.png" id="105" name="Picture"/>
                    <pic:cNvPicPr>
                      <a:picLocks noChangeArrowheads="1" noChangeAspect="1"/>
                    </pic:cNvPicPr>
                  </pic:nvPicPr>
                  <pic:blipFill>
                    <a:blip r:embed="rId55"/>
                    <a:stretch>
                      <a:fillRect/>
                    </a:stretch>
                  </pic:blipFill>
                  <pic:spPr bwMode="auto">
                    <a:xfrm>
                      <a:off x="0" y="0"/>
                      <a:ext cx="5334000" cy="2359269"/>
                    </a:xfrm>
                    <a:prstGeom prst="rect">
                      <a:avLst/>
                    </a:prstGeom>
                    <a:noFill/>
                    <a:ln w="9525">
                      <a:noFill/>
                      <a:headEnd/>
                      <a:tailEnd/>
                    </a:ln>
                  </pic:spPr>
                </pic:pic>
              </a:graphicData>
            </a:graphic>
          </wp:inline>
        </w:drawing>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6"/>
    <w:bookmarkStart w:id="107" w:name="job-lifecycle"/>
    <w:p>
      <w:pPr>
        <w:pStyle w:val="Heading2"/>
      </w:pPr>
      <w:r>
        <w:t xml:space="preserve">Job lifecycle</w:t>
      </w:r>
    </w:p>
    <w:p>
      <w:pPr>
        <w:numPr>
          <w:ilvl w:val="0"/>
          <w:numId w:val="1025"/>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25"/>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25"/>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25"/>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25"/>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25"/>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25"/>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25"/>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7"/>
    <w:bookmarkStart w:id="110"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FirstParagraph"/>
      </w:pPr>
      <w:r>
        <w:drawing>
          <wp:inline>
            <wp:extent cx="5334000" cy="2564423"/>
            <wp:effectExtent b="0" l="0" r="0" t="0"/>
            <wp:docPr descr="The safe-mode ladder" title="" id="108" name="Picture"/>
            <a:graphic>
              <a:graphicData uri="http://schemas.openxmlformats.org/drawingml/2006/picture">
                <pic:pic>
                  <pic:nvPicPr>
                    <pic:cNvPr descr="/home/claude/yobiebenjamin/safety-governor/docs/figures/fig-safe-mode.png" id="109" name="Picture"/>
                    <pic:cNvPicPr>
                      <a:picLocks noChangeArrowheads="1" noChangeAspect="1"/>
                    </pic:cNvPicPr>
                  </pic:nvPicPr>
                  <pic:blipFill>
                    <a:blip r:embed="rId60"/>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0"/>
    <w:bookmarkStart w:id="111" w:name="tiers"/>
    <w:p>
      <w:pPr>
        <w:pStyle w:val="Heading2"/>
      </w:pPr>
      <w:r>
        <w:t xml:space="preserve">Tiers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1"/>
    <w:bookmarkStart w:id="112"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2"/>
    <w:bookmarkEnd w:id="113"/>
    <w:bookmarkStart w:id="126"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rings them if the wire is cut. The intercom carries the details:</w:t>
      </w:r>
      <w:r>
        <w:t xml:space="preserve"> </w:t>
      </w:r>
      <w:r>
        <w:t xml:space="preserve">who pulled it, which edition of the rulebook is in 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6"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BodyText"/>
      </w:pPr>
      <w:r>
        <w:drawing>
          <wp:inline>
            <wp:extent cx="5334000" cy="2513134"/>
            <wp:effectExtent b="0" l="0" r="0" t="0"/>
            <wp:docPr descr="The halt loop as a circuit" title="" id="114" name="Picture"/>
            <a:graphic>
              <a:graphicData uri="http://schemas.openxmlformats.org/drawingml/2006/picture">
                <pic:pic>
                  <pic:nvPicPr>
                    <pic:cNvPr descr="/home/claude/yobiebenjamin/safety-governor/docs/figures/fig-halt-loop.png" id="115" name="Picture"/>
                    <pic:cNvPicPr>
                      <a:picLocks noChangeArrowheads="1" noChangeAspect="1"/>
                    </pic:cNvPicPr>
                  </pic:nvPicPr>
                  <pic:blipFill>
                    <a:blip r:embed="rId64"/>
                    <a:stretch>
                      <a:fillRect/>
                    </a:stretch>
                  </pic:blipFill>
                  <pic:spPr bwMode="auto">
                    <a:xfrm>
                      <a:off x="0" y="0"/>
                      <a:ext cx="5334000" cy="2513134"/>
                    </a:xfrm>
                    <a:prstGeom prst="rect">
                      <a:avLst/>
                    </a:prstGeom>
                    <a:noFill/>
                    <a:ln w="9525">
                      <a:noFill/>
                      <a:headEnd/>
                      <a:tailEnd/>
                    </a:ln>
                  </pic:spPr>
                </pic:pic>
              </a:graphicData>
            </a:graphic>
          </wp:inline>
        </w:drawing>
      </w:r>
    </w:p>
    <w:p>
      <w:pPr>
        <w:pStyle w:val="BodyText"/>
      </w:pPr>
      <w:r>
        <w:rPr>
          <w:bCs/>
          <w:b/>
        </w:rPr>
        <w:t xml:space="preserve">Rules.</w:t>
      </w:r>
    </w:p>
    <w:p>
      <w:pPr>
        <w:numPr>
          <w:ilvl w:val="0"/>
          <w:numId w:val="1026"/>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26"/>
        </w:numPr>
        <w:pStyle w:val="Compact"/>
      </w:pPr>
      <w:r>
        <w:t xml:space="preserve">Loss of loop current at any governor drives that governor's halt output within the debounce</w:t>
      </w:r>
      <w:r>
        <w:t xml:space="preserve"> </w:t>
      </w:r>
      <w:r>
        <w:t xml:space="preserve">window of two sense periods (target 100 µs per period, bound 1 ms end to end for a 72-GPU</w:t>
      </w:r>
      <w:r>
        <w:t xml:space="preserve"> </w:t>
      </w:r>
      <w:r>
        <w:t xml:space="preserve">domain).</w:t>
      </w:r>
    </w:p>
    <w:p>
      <w:pPr>
        <w:numPr>
          <w:ilvl w:val="0"/>
          <w:numId w:val="1026"/>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26"/>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26"/>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26"/>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6"/>
    <w:bookmarkStart w:id="123"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7" w:name="message-types"/>
    <w:p>
      <w:pPr>
        <w:pStyle w:val="Heading3"/>
      </w:pPr>
      <w:r>
        <w:t xml:space="preserve">Message types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7"/>
    <w:bookmarkStart w:id="118" w:name="roster-formation"/>
    <w:p>
      <w:pPr>
        <w:pStyle w:val="Heading3"/>
      </w:pPr>
      <w:r>
        <w:t xml:space="preserve">Roster formation</w:t>
      </w:r>
    </w:p>
    <w:p>
      <w:pPr>
        <w:numPr>
          <w:ilvl w:val="0"/>
          <w:numId w:val="1027"/>
        </w:numPr>
        <w:pStyle w:val="Compact"/>
      </w:pPr>
      <w:r>
        <w:t xml:space="preserve">A job scheduler (untrusted) names the GPUs it wants.</w:t>
      </w:r>
    </w:p>
    <w:p>
      <w:pPr>
        <w:numPr>
          <w:ilvl w:val="0"/>
          <w:numId w:val="1027"/>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27"/>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27"/>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27"/>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8"/>
    <w:bookmarkStart w:id="119"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28"/>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28"/>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28"/>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28"/>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19"/>
    <w:bookmarkStart w:id="120"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0"/>
    <w:bookmarkStart w:id="121"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1"/>
    <w:bookmarkStart w:id="122"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2"/>
    <w:bookmarkEnd w:id="123"/>
    <w:bookmarkStart w:id="124" w:name="X8480e3ed5e6b5b1f8d9bf24b441a22b747ca481"/>
    <w:p>
      <w:pPr>
        <w:pStyle w:val="Heading2"/>
      </w:pPr>
      <w:r>
        <w:t xml:space="preserve">3. Partitions and failure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4"/>
    <w:bookmarkStart w:id="125"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5"/>
    <w:bookmarkEnd w:id="126"/>
    <w:bookmarkStart w:id="139"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29" w:name="X4039a62f30d83f9deb52e9cd68302ddcd09e7ae"/>
    <w:p>
      <w:pPr>
        <w:pStyle w:val="Heading2"/>
      </w:pPr>
      <w:r>
        <w:t xml:space="preserve">1. Where it plugs 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BodyText"/>
      </w:pPr>
      <w:r>
        <w:drawing>
          <wp:inline>
            <wp:extent cx="5334000" cy="3692769"/>
            <wp:effectExtent b="0" l="0" r="0" t="0"/>
            <wp:docPr descr="Where the governor goes in the rack" title="" id="127" name="Picture"/>
            <a:graphic>
              <a:graphicData uri="http://schemas.openxmlformats.org/drawingml/2006/picture">
                <pic:pic>
                  <pic:nvPicPr>
                    <pic:cNvPr descr="/home/claude/yobiebenjamin/safety-governor/docs/figures/fig-rack.png" id="128"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29"/>
    <w:bookmarkStart w:id="130" w:name="X4e0c648f7e0d241ee151b68cf0d17ef513b64a1"/>
    <w:p>
      <w:pPr>
        <w:pStyle w:val="Heading2"/>
      </w:pPr>
      <w:r>
        <w:t xml:space="preserve">2. The paired GPU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0"/>
    <w:bookmarkStart w:id="131"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1"/>
    <w:bookmarkStart w:id="132" w:name="X0e15ef8b5e59856bd3449b189f2b312cdcdf49b"/>
    <w:p>
      <w:pPr>
        <w:pStyle w:val="Heading2"/>
      </w:pPr>
      <w:r>
        <w:t xml:space="preserve">4. The host CPU and its enclave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2"/>
    <w:bookmarkStart w:id="133" w:name="Xc46616df0e893772f95f447ef4e69a7ba48aa7b"/>
    <w:p>
      <w:pPr>
        <w:pStyle w:val="Heading2"/>
      </w:pPr>
      <w:r>
        <w:t xml:space="preserve">5. Memory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3"/>
    <w:bookmarkStart w:id="134"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4"/>
    <w:bookmarkStart w:id="135"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5"/>
    <w:bookmarkStart w:id="136"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6"/>
    <w:bookmarkStart w:id="137"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7"/>
    <w:bookmarkStart w:id="138" w:name="Xcdedb40afd5e2415c13486145341274772fe20b"/>
    <w:p>
      <w:pPr>
        <w:pStyle w:val="Heading2"/>
      </w:pPr>
      <w:r>
        <w:t xml:space="preserve">10. Pin summary (governor module)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8"/>
    <w:bookmarkEnd w:id="139"/>
    <w:bookmarkStart w:id="153"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0" w:name="Xc0fdf5783cd5c5a6001037e2455ed078a9e93ed"/>
    <w:p>
      <w:pPr>
        <w:pStyle w:val="Heading2"/>
      </w:pPr>
      <w:r>
        <w:t xml:space="preserve">1. Conventions</w:t>
      </w:r>
    </w:p>
    <w:p>
      <w:pPr>
        <w:numPr>
          <w:ilvl w:val="0"/>
          <w:numId w:val="1029"/>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29"/>
        </w:numPr>
        <w:pStyle w:val="Compact"/>
      </w:pPr>
      <w:r>
        <w:t xml:space="preserve">"Durable" means written to the governor's authenticated NVM before the operation returns.</w:t>
      </w:r>
    </w:p>
    <w:p>
      <w:pPr>
        <w:numPr>
          <w:ilvl w:val="0"/>
          <w:numId w:val="1029"/>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29"/>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0"/>
    <w:bookmarkStart w:id="141"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1"/>
    <w:bookmarkStart w:id="142"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2"/>
    <w:bookmarkStart w:id="143"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w:t>
      </w:r>
    </w:p>
    <w:p>
      <w:pPr>
        <w:pStyle w:val="FirstParagraph"/>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3"/>
    <w:bookmarkStart w:id="146" w:name="X445b03a8e4d8ef8e4aaeccabe057f7054abc8bf"/>
    <w:p>
      <w:pPr>
        <w:pStyle w:val="Heading2"/>
      </w:pPr>
      <w:r>
        <w:t xml:space="preserve">5. Typed request, ticket, capability</w:t>
      </w:r>
    </w:p>
    <w:p>
      <w:pPr>
        <w:pStyle w:val="FirstParagraph"/>
      </w:pPr>
      <w:r>
        <w:drawing>
          <wp:inline>
            <wp:extent cx="5334000" cy="2872153"/>
            <wp:effectExtent b="0" l="0" r="0" t="0"/>
            <wp:docPr descr="One request through the gate" title="" id="144" name="Picture"/>
            <a:graphic>
              <a:graphicData uri="http://schemas.openxmlformats.org/drawingml/2006/picture">
                <pic:pic>
                  <pic:nvPicPr>
                    <pic:cNvPr descr="/home/claude/yobiebenjamin/safety-governor/docs/figures/fig-request.png" id="145" name="Picture"/>
                    <pic:cNvPicPr>
                      <a:picLocks noChangeArrowheads="1" noChangeAspect="1"/>
                    </pic:cNvPicPr>
                  </pic:nvPicPr>
                  <pic:blipFill>
                    <a:blip r:embed="rId69"/>
                    <a:stretch>
                      <a:fillRect/>
                    </a:stretch>
                  </pic:blipFill>
                  <pic:spPr bwMode="auto">
                    <a:xfrm>
                      <a:off x="0" y="0"/>
                      <a:ext cx="5334000" cy="2872153"/>
                    </a:xfrm>
                    <a:prstGeom prst="rect">
                      <a:avLst/>
                    </a:prstGeom>
                    <a:noFill/>
                    <a:ln w="9525">
                      <a:noFill/>
                      <a:headEnd/>
                      <a:tailEnd/>
                    </a:ln>
                  </pic:spPr>
                </pic:pic>
              </a:graphicData>
            </a:graphic>
          </wp:inline>
        </w:drawing>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6"/>
    <w:bookmarkStart w:id="147"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7"/>
    <w:bookmarkStart w:id="148" w:name="X5b7f85b094b12c87924ba5ec843d761209504e6"/>
    <w:p>
      <w:pPr>
        <w:pStyle w:val="Heading2"/>
      </w:pPr>
      <w:r>
        <w:t xml:space="preserve">7. Crypto suite and key hierarchy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8"/>
    <w:bookmarkStart w:id="149" w:name="X732f24149e2394efc27fb523307636d2e80d1c8"/>
    <w:p>
      <w:pPr>
        <w:pStyle w:val="Heading2"/>
      </w:pPr>
      <w:r>
        <w:t xml:space="preserve">8. Control firmware</w:t>
      </w:r>
    </w:p>
    <w:p>
      <w:pPr>
        <w:numPr>
          <w:ilvl w:val="0"/>
          <w:numId w:val="1030"/>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30"/>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30"/>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30"/>
        </w:numPr>
        <w:pStyle w:val="Compact"/>
      </w:pPr>
      <w:r>
        <w:t xml:space="preserve">Update: signed by the governance root, measured at boot, gated by the anti-rollback counter.</w:t>
      </w:r>
    </w:p>
    <w:bookmarkEnd w:id="149"/>
    <w:bookmarkStart w:id="150" w:name="Xf0d23316954305726f8f17a567c27a760236b92"/>
    <w:p>
      <w:pPr>
        <w:pStyle w:val="Heading2"/>
      </w:pPr>
      <w:r>
        <w:t xml:space="preserve">9. Timing parameters (defaults; policy may tighten)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0"/>
    <w:bookmarkStart w:id="151" w:name="Xd6170d590832eef9b430163e2224bc7dd39c914"/>
    <w:p>
      <w:pPr>
        <w:pStyle w:val="Heading2"/>
      </w:pPr>
      <w:r>
        <w:t xml:space="preserve">10. Memory and storage budgets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1"/>
    <w:bookmarkStart w:id="152" w:name="X9bb2a91bc133d9001c8bdce2fc78c4c7ef71ff8"/>
    <w:p>
      <w:pPr>
        <w:pStyle w:val="Heading2"/>
      </w:pPr>
      <w:r>
        <w:t xml:space="preserve">11. Physical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2"/>
    <w:bookmarkEnd w:id="153"/>
    <w:bookmarkStart w:id="158"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4" w:name="adversaries"/>
    <w:p>
      <w:pPr>
        <w:pStyle w:val="Heading2"/>
      </w:pPr>
      <w:r>
        <w:t xml:space="preserve">Adversaries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4"/>
    <w:bookmarkStart w:id="155" w:name="X7a9319793429e4af6b5ae59fec53ee58c0844c9"/>
    <w:p>
      <w:pPr>
        <w:pStyle w:val="Heading2"/>
      </w:pPr>
      <w:r>
        <w:t xml:space="preserve">What the governor stops (claims with tests)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5"/>
    <w:bookmarkStart w:id="156" w:name="Xdd0eda64b7bae83cabacc2c5ae0dc1fb9c34312"/>
    <w:p>
      <w:pPr>
        <w:pStyle w:val="Heading2"/>
      </w:pPr>
      <w:r>
        <w:t xml:space="preserve">What the governor only raises the cost of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6"/>
    <w:bookmarkStart w:id="157" w:name="what-the-governor-does-not-address"/>
    <w:p>
      <w:pPr>
        <w:pStyle w:val="Heading2"/>
      </w:pPr>
      <w:r>
        <w:t xml:space="preserve">What the governor does not address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7"/>
    <w:bookmarkEnd w:id="158"/>
    <w:bookmarkStart w:id="162"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59" w:name="columns"/>
    <w:p>
      <w:pPr>
        <w:pStyle w:val="Heading2"/>
      </w:pPr>
      <w:r>
        <w:t xml:space="preserve">Columns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59"/>
    <w:bookmarkStart w:id="160" w:name="the-register-the-model-ships-with"/>
    <w:p>
      <w:pPr>
        <w:pStyle w:val="Heading2"/>
      </w:pPr>
      <w:r>
        <w:t xml:space="preserve">The register the model ships with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0"/>
    <w:bookmarkStart w:id="161" w:name="rules-of-use"/>
    <w:p>
      <w:pPr>
        <w:pStyle w:val="Heading2"/>
      </w:pPr>
      <w:r>
        <w:t xml:space="preserve">Rules of use</w:t>
      </w:r>
    </w:p>
    <w:p>
      <w:pPr>
        <w:numPr>
          <w:ilvl w:val="0"/>
          <w:numId w:val="1031"/>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31"/>
        </w:numPr>
        <w:pStyle w:val="Compact"/>
      </w:pPr>
      <w:r>
        <w:t xml:space="preserve">A novelty detector is a witness, never a guarantee against cases nobody listed.</w:t>
      </w:r>
    </w:p>
    <w:p>
      <w:pPr>
        <w:numPr>
          <w:ilvl w:val="0"/>
          <w:numId w:val="1031"/>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31"/>
        </w:numPr>
        <w:pStyle w:val="Compact"/>
      </w:pPr>
      <w:r>
        <w:t xml:space="preserve">Each endpoint names its safe transition. "Do nothing" is one option; for some devices it is</w:t>
      </w:r>
      <w:r>
        <w:t xml:space="preserve"> </w:t>
      </w:r>
      <w:r>
        <w:t xml:space="preserve">the hazard.</w:t>
      </w:r>
    </w:p>
    <w:p>
      <w:pPr>
        <w:numPr>
          <w:ilvl w:val="0"/>
          <w:numId w:val="1031"/>
        </w:numPr>
        <w:pStyle w:val="Compact"/>
      </w:pPr>
      <w:r>
        <w:t xml:space="preserve">A deployment may add rows; it may not remove the rows its rules depend on. The loader</w:t>
      </w:r>
      <w:r>
        <w:t xml:space="preserve"> </w:t>
      </w:r>
      <w:r>
        <w:t xml:space="preserve">enforces that.</w:t>
      </w:r>
    </w:p>
    <w:p>
      <w:r>
        <w:br w:type="page"/>
      </w:r>
    </w:p>
    <w:bookmarkEnd w:id="161"/>
    <w:bookmarkEnd w:id="162"/>
    <w:bookmarkStart w:id="169"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3" w:name="Xcb55866cf1387aa8ca8d40c676a592908cf6236"/>
    <w:p>
      <w:pPr>
        <w:pStyle w:val="Heading2"/>
      </w:pPr>
      <w:r>
        <w:t xml:space="preserve">1. Hypotheses and what would knock each one down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bl>
    <w:bookmarkEnd w:id="163"/>
    <w:bookmarkStart w:id="164"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4"/>
    <w:bookmarkStart w:id="165"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5"/>
    <w:bookmarkStart w:id="166" w:name="X23fe69967ad1be5b41d31b6cdd6aba21fe8e187"/>
    <w:p>
      <w:pPr>
        <w:pStyle w:val="Heading2"/>
      </w:pPr>
      <w:r>
        <w:t xml:space="preserve">4. Silicon validation (after tape-out)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6"/>
    <w:bookmarkStart w:id="167" w:name="X2281c6ad42dcb7bbad1b7204371e7b2fc8c094c"/>
    <w:p>
      <w:pPr>
        <w:pStyle w:val="Heading2"/>
      </w:pPr>
      <w:r>
        <w:t xml:space="preserve">5. Failure modes and effects (FMEA, abbreviated)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7"/>
    <w:bookmarkStart w:id="168"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8"/>
    <w:bookmarkEnd w:id="169"/>
    <w:bookmarkStart w:id="185"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3"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0">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1">
        <w:r>
          <w:rPr>
            <w:rStyle w:val="Hyperlink"/>
          </w:rPr>
          <w:t xml:space="preserve">Google's announcement</w:t>
        </w:r>
      </w:hyperlink>
      <w:r>
        <w:t xml:space="preserve">),</w:t>
      </w:r>
      <w:r>
        <w:t xml:space="preserve"> </w:t>
      </w:r>
      <w:r>
        <w:t xml:space="preserve">and OpenTitan shipped in Chromebooks in March 2026 (</w:t>
      </w:r>
      <w:hyperlink r:id="rId172">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3"/>
    <w:bookmarkStart w:id="181" w:name="X1dfb3c0ee15ad56bc82a843f23ef4aaaea90a71"/>
    <w:p>
      <w:pPr>
        <w:pStyle w:val="Heading2"/>
      </w:pPr>
      <w:r>
        <w:t xml:space="preserve">2. Leg A: the prototype on SkyWater sky130</w:t>
      </w:r>
    </w:p>
    <w:bookmarkStart w:id="175" w:name="X1766651c4e70b52e8e61dca076a167310532474"/>
    <w:p>
      <w:pPr>
        <w:pStyle w:val="Heading3"/>
      </w:pPr>
      <w:r>
        <w:t xml:space="preserve">2.1 Process and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4">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5"/>
    <w:bookmarkStart w:id="176"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6"/>
    <w:bookmarkStart w:id="177"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7"/>
    <w:bookmarkStart w:id="178" w:name="X1d3021a864acffdb4f8a4e91727810a2faa13fc"/>
    <w:p>
      <w:pPr>
        <w:pStyle w:val="Heading3"/>
      </w:pPr>
      <w:r>
        <w:t xml:space="preserve">2.4 Shuttle options for Leg 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8"/>
    <w:bookmarkStart w:id="179" w:name="X865b68360f0831fcf8cd1f4600b2ce5bca7b56e"/>
    <w:p>
      <w:pPr>
        <w:pStyle w:val="Heading3"/>
      </w:pPr>
      <w:r>
        <w:t xml:space="preserve">2.5 Package, board, bring-up</w:t>
      </w:r>
    </w:p>
    <w:p>
      <w:pPr>
        <w:numPr>
          <w:ilvl w:val="0"/>
          <w:numId w:val="1032"/>
        </w:numPr>
        <w:pStyle w:val="Compact"/>
      </w:pPr>
      <w:r>
        <w:rPr>
          <w:bCs/>
          <w:b/>
        </w:rPr>
        <w:t xml:space="preserve">Package.</w:t>
      </w:r>
      <w:r>
        <w:t xml:space="preserve"> </w:t>
      </w:r>
      <w:r>
        <w:t xml:space="preserve">The harness's standard QFN (prototype); no custom package work.</w:t>
      </w:r>
    </w:p>
    <w:p>
      <w:pPr>
        <w:numPr>
          <w:ilvl w:val="0"/>
          <w:numId w:val="1032"/>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32"/>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r>
        <w:t xml:space="preserve"> </w:t>
      </w:r>
      <w:r>
        <w:t xml:space="preserve">(7) Lifecycle advance to PRODUCTION on one part; confirm JTAG refuses.</w:t>
      </w:r>
    </w:p>
    <w:bookmarkEnd w:id="179"/>
    <w:bookmarkStart w:id="180" w:name="X191fffcf4c34da1c578ab71279da5980a225cc3"/>
    <w:p>
      <w:pPr>
        <w:pStyle w:val="Heading3"/>
      </w:pPr>
      <w:r>
        <w:t xml:space="preserve">2.6 Schedule and cost (Leg 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0"/>
    <w:bookmarkEnd w:id="181"/>
    <w:bookmarkStart w:id="182" w:name="X465e92146a025adb091382e0eca36e23eda5a01"/>
    <w:p>
      <w:pPr>
        <w:pStyle w:val="Heading2"/>
      </w:pPr>
      <w:r>
        <w:t xml:space="preserve">3. Leg B: the product chip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2"/>
    <w:bookmarkStart w:id="183"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3"/>
    <w:bookmarkStart w:id="184" w:name="Xd7a141c6caa51552939519fbc023b4419a0a4bf"/>
    <w:p>
      <w:pPr>
        <w:pStyle w:val="Heading2"/>
      </w:pPr>
      <w:r>
        <w:t xml:space="preserve">5. Tape-out checklist (Leg A)</w:t>
      </w:r>
    </w:p>
    <w:p>
      <w:pPr>
        <w:numPr>
          <w:ilvl w:val="0"/>
          <w:numId w:val="1033"/>
        </w:numPr>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33"/>
        </w:numPr>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33"/>
        </w:numPr>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33"/>
        </w:numPr>
      </w:pPr>
      <w:r>
        <w:t xml:space="preserve">☐ LibreLane: synthesis clean, no latches, no combinational loops</w:t>
      </w:r>
    </w:p>
    <w:p>
      <w:pPr>
        <w:numPr>
          <w:ilvl w:val="0"/>
          <w:numId w:val="1033"/>
        </w:numPr>
      </w:pPr>
      <w:r>
        <w:t xml:space="preserve">☐ Timing: setup and hold met at tt, ss, ff with 10 % margin at 50 MHz</w:t>
      </w:r>
    </w:p>
    <w:p>
      <w:pPr>
        <w:numPr>
          <w:ilvl w:val="0"/>
          <w:numId w:val="1033"/>
        </w:numPr>
      </w:pPr>
      <w:r>
        <w:t xml:space="preserve">☐ DRC: Magic and KLayout clean on the sky130 deck</w:t>
      </w:r>
    </w:p>
    <w:p>
      <w:pPr>
        <w:numPr>
          <w:ilvl w:val="0"/>
          <w:numId w:val="1033"/>
        </w:numPr>
      </w:pPr>
      <w:r>
        <w:t xml:space="preserve">☐ LVS: Netgen clean</w:t>
      </w:r>
    </w:p>
    <w:p>
      <w:pPr>
        <w:numPr>
          <w:ilvl w:val="0"/>
          <w:numId w:val="1033"/>
        </w:numPr>
      </w:pPr>
      <w:r>
        <w:t xml:space="preserve">☐ Antenna: clean after diode insertion</w:t>
      </w:r>
    </w:p>
    <w:p>
      <w:pPr>
        <w:numPr>
          <w:ilvl w:val="0"/>
          <w:numId w:val="1033"/>
        </w:numPr>
      </w:pPr>
      <w:r>
        <w:t xml:space="preserve">☐ Fill and density: within the deck's windows on every layer</w:t>
      </w:r>
    </w:p>
    <w:p>
      <w:pPr>
        <w:numPr>
          <w:ilvl w:val="0"/>
          <w:numId w:val="1033"/>
        </w:numPr>
      </w:pPr>
      <w:r>
        <w:t xml:space="preserve">☐ IR drop under 5 % of VDD on the core grid</w:t>
      </w:r>
    </w:p>
    <w:p>
      <w:pPr>
        <w:numPr>
          <w:ilvl w:val="0"/>
          <w:numId w:val="1033"/>
        </w:numPr>
      </w:pPr>
      <w:r>
        <w:t xml:space="preserve">☐ Pin placement matches the harness template; GDS XOR against the template clean outside the user area</w:t>
      </w:r>
    </w:p>
    <w:p>
      <w:pPr>
        <w:numPr>
          <w:ilvl w:val="0"/>
          <w:numId w:val="1033"/>
        </w:numPr>
      </w:pPr>
      <w:r>
        <w:t xml:space="preserve">☐ Lifecycle fuse emulation verified: TEST allows JTAG; PRODUCTION refuses and logs</w:t>
      </w:r>
    </w:p>
    <w:p>
      <w:pPr>
        <w:numPr>
          <w:ilvl w:val="0"/>
          <w:numId w:val="1033"/>
        </w:numPr>
      </w:pPr>
      <w:r>
        <w:t xml:space="preserve">☐ Firmware image measured; DICE test vectors match the functional model</w:t>
      </w:r>
    </w:p>
    <w:p>
      <w:pPr>
        <w:numPr>
          <w:ilvl w:val="0"/>
          <w:numId w:val="1033"/>
        </w:numPr>
      </w:pPr>
      <w:r>
        <w:t xml:space="preserve">☐ Provisioning procedure for the external secure element written and rehearsed</w:t>
      </w:r>
    </w:p>
    <w:p>
      <w:pPr>
        <w:numPr>
          <w:ilvl w:val="0"/>
          <w:numId w:val="1033"/>
        </w:numPr>
      </w:pPr>
      <w:r>
        <w:t xml:space="preserve">☐ The assumptions register row for "prototype holds the UDS in a provisioning register" present and marked as a prototype-only weakness</w:t>
      </w:r>
    </w:p>
    <w:p>
      <w:r>
        <w:br w:type="page"/>
      </w:r>
    </w:p>
    <w:bookmarkEnd w:id="184"/>
    <w:bookmarkEnd w:id="185"/>
    <w:bookmarkStart w:id="194"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6" w:name="the-big-picture"/>
    <w:p>
      <w:pPr>
        <w:pStyle w:val="Heading2"/>
      </w:pPr>
      <w:r>
        <w:t xml:space="preserve">The big picture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6"/>
    <w:bookmarkStart w:id="187" w:name="identity-and-trust"/>
    <w:p>
      <w:pPr>
        <w:pStyle w:val="Heading2"/>
      </w:pPr>
      <w:r>
        <w:t xml:space="preserve">Identity and trust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7"/>
    <w:bookmarkStart w:id="188" w:name="rules"/>
    <w:p>
      <w:pPr>
        <w:pStyle w:val="Heading2"/>
      </w:pPr>
      <w:r>
        <w:t xml:space="preserve">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8"/>
    <w:bookmarkStart w:id="189" w:name="permissions"/>
    <w:p>
      <w:pPr>
        <w:pStyle w:val="Heading2"/>
      </w:pPr>
      <w:r>
        <w:t xml:space="preserve">Permissions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89"/>
    <w:bookmarkStart w:id="190" w:name="stopping"/>
    <w:p>
      <w:pPr>
        <w:pStyle w:val="Heading2"/>
      </w:pPr>
      <w:r>
        <w:t xml:space="preserve">Stopping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0"/>
    <w:bookmarkStart w:id="191" w:name="containment-and-provenance"/>
    <w:p>
      <w:pPr>
        <w:pStyle w:val="Heading2"/>
      </w:pPr>
      <w:r>
        <w:t xml:space="preserve">Containment and provenance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1"/>
    <w:bookmarkStart w:id="192" w:name="the-cluster"/>
    <w:p>
      <w:pPr>
        <w:pStyle w:val="Heading2"/>
      </w:pPr>
      <w:r>
        <w:t xml:space="preserve">The cluster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2"/>
    <w:bookmarkStart w:id="193" w:name="building-it"/>
    <w:p>
      <w:pPr>
        <w:pStyle w:val="Heading2"/>
      </w:pPr>
      <w:r>
        <w:t xml:space="preserve">Building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3"/>
    <w:bookmarkEnd w:id="194"/>
    <w:bookmarkStart w:id="198"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195"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4">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195"/>
    <w:bookmarkStart w:id="196"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196"/>
    <w:bookmarkStart w:id="197"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197"/>
    <w:bookmarkEnd w:id="198"/>
    <w:bookmarkStart w:id="205"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199" w:name="X5604b8c0c2b63bd908d394349c4ee25dec5dddf"/>
    <w:p>
      <w:pPr>
        <w:pStyle w:val="Heading2"/>
      </w:pPr>
      <w:r>
        <w:t xml:space="preserve">1. Where the module sits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199"/>
    <w:bookmarkStart w:id="200" w:name="X7e4a3496dc21189705b45baa6252865027bf594"/>
    <w:p>
      <w:pPr>
        <w:pStyle w:val="Heading2"/>
      </w:pPr>
      <w:r>
        <w:t xml:space="preserve">2. Per GPU slot (× 8 on an HGX baseboard)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200"/>
    <w:bookmarkStart w:id="201" w:name="Xe94356be594d70e0943a04e53715e8460ca30e9"/>
    <w:p>
      <w:pPr>
        <w:pStyle w:val="Heading2"/>
      </w:pPr>
      <w:r>
        <w:t xml:space="preserve">3. Switch management buses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201"/>
    <w:bookmarkStart w:id="202" w:name="X18644beb0b4c586b6e925b4ca7d55a4ba6ba698"/>
    <w:p>
      <w:pPr>
        <w:pStyle w:val="Heading2"/>
      </w:pPr>
      <w:r>
        <w:t xml:space="preserve">4. The two cluster wires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202"/>
    <w:bookmarkStart w:id="203" w:name="Xf1ccccdc2f3bd8477ccbfd30af19003fe510e47"/>
    <w:p>
      <w:pPr>
        <w:pStyle w:val="Heading2"/>
      </w:pPr>
      <w:r>
        <w:t xml:space="preserve">5. Power-on sequence</w:t>
      </w:r>
    </w:p>
    <w:p>
      <w:pPr>
        <w:numPr>
          <w:ilvl w:val="0"/>
          <w:numId w:val="1034"/>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34"/>
        </w:numPr>
        <w:pStyle w:val="Compact"/>
      </w:pPr>
      <w:r>
        <w:t xml:space="preserve">Governors measure boot, derive keys, load their policy image from NVM, and verify it.</w:t>
      </w:r>
    </w:p>
    <w:p>
      <w:pPr>
        <w:numPr>
          <w:ilvl w:val="0"/>
          <w:numId w:val="1034"/>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34"/>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34"/>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203"/>
    <w:bookmarkStart w:id="204"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204"/>
    <w:bookmarkEnd w:id="205"/>
    <w:bookmarkStart w:id="212"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206" w:name="X592630e837ce97f0cadfb4b054635a23e91ec0a"/>
    <w:p>
      <w:pPr>
        <w:pStyle w:val="Heading2"/>
      </w:pPr>
      <w:r>
        <w:t xml:space="preserve">1. The second pass: what the first pass got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206"/>
    <w:bookmarkStart w:id="207"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207"/>
    <w:bookmarkStart w:id="208" w:name="X76c9e0f8b296f1b84e39b235ecc78b20010b7f6"/>
    <w:p>
      <w:pPr>
        <w:pStyle w:val="Heading2"/>
      </w:pPr>
      <w:r>
        <w:t xml:space="preserve">3. The first pass: hallucinations found and corrected (still standing)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208"/>
    <w:bookmarkStart w:id="209" w:name="X2edcf6b0c2352559acee5f07be8bf9b56489b7e"/>
    <w:p>
      <w:pPr>
        <w:pStyle w:val="Heading2"/>
      </w:pPr>
      <w:r>
        <w:t xml:space="preserve">4. What was verified and against what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209"/>
    <w:bookmarkStart w:id="210" w:name="X9e804d9b2afbeb81fb10d3a1cf3d0db637a6e33"/>
    <w:p>
      <w:pPr>
        <w:pStyle w:val="Heading2"/>
      </w:pPr>
      <w:r>
        <w:t xml:space="preserve">5. Still unverified: targets, estimates and asks, not facts</w:t>
      </w:r>
    </w:p>
    <w:p>
      <w:pPr>
        <w:numPr>
          <w:ilvl w:val="0"/>
          <w:numId w:val="1035"/>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35"/>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35"/>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35"/>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35"/>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35"/>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35"/>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35"/>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35"/>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35"/>
        </w:numPr>
        <w:pStyle w:val="Compact"/>
      </w:pPr>
      <w:r>
        <w:rPr>
          <w:bCs/>
          <w:b/>
        </w:rPr>
        <w:t xml:space="preserve">Not modelled:</w:t>
      </w:r>
      <w:r>
        <w:t xml:space="preserve"> </w:t>
      </w:r>
      <w:r>
        <w:t xml:space="preserve">the loop member-count beacon; release and re-request of shared budgets on owner departure; roster countersignatures.</w:t>
      </w:r>
    </w:p>
    <w:bookmarkEnd w:id="210"/>
    <w:bookmarkStart w:id="211"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211"/>
    <w:bookmarkEnd w:id="212"/>
    <w:bookmarkStart w:id="215"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213"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213"/>
    <w:bookmarkStart w:id="214" w:name="what-the-gaps-mean"/>
    <w:p>
      <w:pPr>
        <w:pStyle w:val="Heading2"/>
      </w:pPr>
      <w:r>
        <w:t xml:space="preserve">What the gaps mean</w:t>
      </w:r>
    </w:p>
    <w:p>
      <w:pPr>
        <w:numPr>
          <w:ilvl w:val="0"/>
          <w:numId w:val="1036"/>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36"/>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214"/>
    <w:bookmarkEnd w:id="215"/>
    <w:sectPr>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2" Target="https://github.com/YobieBenjamin/hardware-and-silicon" TargetMode="External" /><Relationship Type="http://schemas.openxmlformats.org/officeDocument/2006/relationships/hyperlink" Id="rId21" Target="https://github.com/YobieBenjamin/hardware-and-silicon/tree/main/blog"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42" Target="https://github.com/YobieBenjamin/safety-governor/blob/main/docs/06-assumptions-register.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44" Target="https://github.com/YobieBenjamin/safety-governor/blob/main/docs/AUDIT-2026-10.md"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174" Target="https://librelane.readthedocs.io/" TargetMode="External" /><Relationship Type="http://schemas.openxmlformats.org/officeDocument/2006/relationships/hyperlink" Id="rId171" Target="https://opensource.googleblog.com/2025/02/fabrication-begins-for-production-opentitan-silicon.html" TargetMode="External" /><Relationship Type="http://schemas.openxmlformats.org/officeDocument/2006/relationships/hyperlink" Id="rId170" Target="https://opentitan.org/" TargetMode="External" /><Relationship Type="http://schemas.openxmlformats.org/officeDocument/2006/relationships/hyperlink" Id="rId172" Target="https://opentitan.org/history/" TargetMode="External" /><Relationship Type="http://schemas.openxmlformats.org/officeDocument/2006/relationships/hyperlink" Id="rId37" Target="hw/"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_rels/footnotes.xml.rels><?xml version="1.0" encoding="UTF-8"?><Relationships xmlns="http://schemas.openxmlformats.org/package/2006/relationships"><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2" Target="https://github.com/YobieBenjamin/hardware-and-silicon" TargetMode="External" /><Relationship Type="http://schemas.openxmlformats.org/officeDocument/2006/relationships/hyperlink" Id="rId21" Target="https://github.com/YobieBenjamin/hardware-and-silicon/tree/main/blog"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42" Target="https://github.com/YobieBenjamin/safety-governor/blob/main/docs/06-assumptions-register.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44" Target="https://github.com/YobieBenjamin/safety-governor/blob/main/docs/AUDIT-2026-10.md"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174" Target="https://librelane.readthedocs.io/" TargetMode="External" /><Relationship Type="http://schemas.openxmlformats.org/officeDocument/2006/relationships/hyperlink" Id="rId171" Target="https://opensource.googleblog.com/2025/02/fabrication-begins-for-production-opentitan-silicon.html" TargetMode="External" /><Relationship Type="http://schemas.openxmlformats.org/officeDocument/2006/relationships/hyperlink" Id="rId170" Target="https://opentitan.org/" TargetMode="External" /><Relationship Type="http://schemas.openxmlformats.org/officeDocument/2006/relationships/hyperlink" Id="rId172" Target="https://opentitan.org/history/" TargetMode="External" /><Relationship Type="http://schemas.openxmlformats.org/officeDocument/2006/relationships/hyperlink" Id="rId37" Target="hw/"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2026-10-13T22:59:45Z</dcterms:created>
  <dcterms:modified xsi:type="dcterms:W3CDTF">2026-10-13T22:59:45Z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2026-10-13 · github.com/YobieBenjamin/safety-governor</vt:lpwstr>
  </property>
  <property fmtid="{D5CDD505-2E9C-101B-9397-08002B2CF9AE}" pid="3" name="subtitle">
    <vt:lpwstr>A chip that says no. One per NVIDIA GPU, added through the rack's own boards.</vt:lpwstr>
  </property>
</Properties>
</file>