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1.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5" Type="http://schemas.openxmlformats.org/officeDocument/2006/relationships/extendedProperties" Target="docProps/app0.xml"/><Relationship Id="rId4" Type="http://schemas.openxmlformats.org/officeDocument/2006/relationships/extendedProperties" Target="docProps/app1.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83FB07A" w14:textId="77777777" w:rsidR="00631C9C" w:rsidRPr="00910E5D" w:rsidRDefault="00C357EB" w:rsidP="00910E5D">
      <w:pPr>
        <w:pStyle w:val="papertitle"/>
        <w:spacing w:before="5pt" w:beforeAutospacing="1" w:after="5pt" w:afterAutospacing="1"/>
        <w:rPr>
          <w:kern w:val="48"/>
          <w:lang w:val="en-GB"/>
        </w:rPr>
      </w:pPr>
      <w:r>
        <w:t>QNTUM, A Quantified Network of Temporal Unfolding Magnitudes for Interpretable, Editable Multivariate Forecasting</w:t>
      </w:r>
    </w:p>
    <w:p w14:paraId="3E62366D" w14:textId="77777777" w:rsidR="006A4C77" w:rsidRDefault="00631C9C" w:rsidP="006A4C77">
      <w:pPr>
        <w:pStyle w:val="Author"/>
        <w:spacing w:before="0pt" w:line="13.80pt" w:lineRule="auto"/>
        <w:rPr>
          <w:rStyle w:val="Emphasis"/>
          <w:i w:val="0"/>
          <w:iCs w:val="0"/>
        </w:rPr>
      </w:pPr>
      <w:r>
        <w:t>Ayoub Bensakhria</w:t>
      </w:r>
    </w:p>
    <w:p w14:paraId="58CEC20C" w14:textId="77777777" w:rsidR="006A4C77" w:rsidRDefault="00910E5D" w:rsidP="006A4C77">
      <w:pPr>
        <w:pStyle w:val="Author"/>
        <w:spacing w:before="0pt" w:line="13.80pt" w:lineRule="auto"/>
        <w:rPr>
          <w:rStyle w:val="Emphasis"/>
        </w:rPr>
      </w:pPr>
      <w:r>
        <w:t>Yoctobe Ltd</w:t>
      </w:r>
    </w:p>
    <w:p w14:paraId="0EF72705" w14:textId="77777777" w:rsidR="00631C9C" w:rsidRPr="006A4C77" w:rsidRDefault="006A4C77" w:rsidP="006A4C77">
      <w:pPr>
        <w:pStyle w:val="Author"/>
        <w:spacing w:before="0pt" w:line="13.80pt" w:lineRule="auto"/>
        <w:rPr>
          <w:rStyle w:val="Emphasis"/>
        </w:rPr>
      </w:pPr>
      <w:r>
        <w:t>Liverpool, L1 0AH, United Kingdom</w:t>
      </w:r>
    </w:p>
    <w:p w14:paraId="3AA0AA6E" w14:textId="77777777" w:rsidR="00631C9C" w:rsidRPr="00B61ED0" w:rsidRDefault="00631C9C" w:rsidP="00631C9C">
      <w:pPr>
        <w:pStyle w:val="Author"/>
        <w:spacing w:before="5pt" w:beforeAutospacing="1" w:after="5pt" w:afterAutospacing="1" w:line="6pt" w:lineRule="auto"/>
        <w:rPr>
          <w:sz w:val="16"/>
          <w:szCs w:val="16"/>
          <w:lang w:val="en-GB"/>
        </w:rPr>
        <w:sectPr w:rsidR="00631C9C" w:rsidRPr="00B61ED0" w:rsidSect="003B4E04">
          <w:footerReference w:type="even" r:id="rId8"/>
          <w:footerReference w:type="default" r:id="rId9"/>
          <w:footerReference w:type="first" r:id="rId10"/>
          <w:pgSz w:w="595.30pt" w:h="841.90pt" w:code="9"/>
          <w:pgMar w:top="27pt" w:right="44.65pt" w:bottom="72pt" w:left="44.65pt" w:header="36pt" w:footer="36pt" w:gutter="0pt"/>
          <w:cols w:space="36pt"/>
          <w:titlePg/>
          <w:docGrid w:linePitch="360"/>
        </w:sectPr>
      </w:pPr>
      <w:r>
        <w:t>ayoub.bensakhria@yoctobe.com</w:t>
      </w:r>
    </w:p>
    <w:p w14:paraId="40B71FF8" w14:textId="77777777" w:rsidR="003A55AF" w:rsidRDefault="00000000">
      <w:pPr>
        <w:pStyle w:val="Abstract"/>
      </w:pPr>
      <w:r w:rsidRPr="007C568A">
        <w:rPr>
          <w:bCs w:val="0"/>
        </w:rPr>
        <w:t>Abstract</w:t>
      </w:r>
      <w:r>
        <w:t xml:space="preserve">: </w:t>
      </w:r>
      <w:r>
        <w:rPr>
          <w:b w:val="0"/>
        </w:rPr>
        <w:t>Small coupled systems often require data-driven estimation together with exact expert control over a limited set of relationships. Restricted and sparse multivariate methods support coefficient constraints, but their fitted structures are not ordinarily exposed as a unified set of locally editable relationship objects with scenario timing and stability metadata. QNTUM (QUAntified Network of Temporal Unfolding Magnitudes) addresses this operational requirement through a sparse influence store. Each entry records a target, one or more sources, a coefficient or formula, an integer lag, and a constraint state. Expert entries may be fixed, sign-constrained, bounded, or forbidden; all free entries are estimated jointly. Variables may be gated by explicit inactive, formation, stable, and decay phases. Levels are represented internally as robustly standardized increments, with preprocessing fitted on training observations only. Linear lagged dynamics are assessed through their companion matrix, and predictive intervals use chronological conformal calibration. In 1,800 controlled sparse-system fits, 50% correct pin coverage increased mean support F1 from 0.711 to 0.786 at 80 observations and from 0.817 to 0.905 at 320 observations. Six-step forecast MAE changed by less than 1%. On two observed UCI panels, QNTUM performed similarly to zero-increment and vector autoregressive baselines. The results support QNTUM as an interpretable, editable representation whose demonstrated benefit is structural recovery under correct partial knowledge rather than general forecasting superiority.</w:t>
      </w:r>
    </w:p>
    <w:p w14:paraId="4C52370C" w14:textId="77777777" w:rsidR="003A55AF" w:rsidRDefault="00000000">
      <w:pPr>
        <w:pStyle w:val="Keywords"/>
      </w:pPr>
      <w:r>
        <w:rPr>
          <w:b w:val="0"/>
          <w:i w:val="0"/>
        </w:rPr>
        <w:t>Keywords: multivariate time series, interpretable forecasting, constrained vector autoregression, sparse system identification, influence networks, event dynamics, spectral stability, conformal prediction.</w:t>
      </w:r>
    </w:p>
    <w:p w14:paraId="0916ABEB" w14:textId="77777777" w:rsidR="003A55AF" w:rsidRDefault="00000000">
      <w:pPr>
        <w:pStyle w:val="Heading1"/>
      </w:pPr>
      <w:r>
        <w:t>Introduction</w:t>
      </w:r>
    </w:p>
    <w:p w14:paraId="45CE00B5" w14:textId="77777777" w:rsidR="003A55AF" w:rsidRDefault="00000000">
      <w:pPr>
        <w:pStyle w:val="Heading2"/>
      </w:pPr>
      <w:r>
        <w:t>The problem: coupling structure that can be read, edited, and bounded</w:t>
      </w:r>
    </w:p>
    <w:p w14:paraId="0AFDEB49" w14:textId="77777777" w:rsidR="003A55AF" w:rsidRDefault="00000000">
      <w:pPr>
        <w:pStyle w:val="BodyText"/>
      </w:pPr>
      <w:r>
        <w:t>A forecaster working with interacting series may possess reliable knowledge about a few relationships and little knowledge about the remainder. Three requirements follow.</w:t>
      </w:r>
    </w:p>
    <w:p w14:paraId="4A380697" w14:textId="77777777" w:rsidR="003A55AF" w:rsidRDefault="00000000">
      <w:pPr>
        <w:pStyle w:val="BodyText"/>
      </w:pPr>
      <w:r>
        <w:t>First, the fitted coupling structure should be readable. The analyst must be able to identify which variable influences which target, with what sign and lag.</w:t>
      </w:r>
    </w:p>
    <w:p w14:paraId="6261BC19" w14:textId="77777777" w:rsidR="003A55AF" w:rsidRDefault="00000000">
      <w:pPr>
        <w:pStyle w:val="BodyText"/>
      </w:pPr>
      <w:r>
        <w:t>Second, the structure should be editable. Trusted relationships should remain fixed when the remaining coefficients are estimated, while impossible relationships should be excluded.</w:t>
      </w:r>
    </w:p>
    <w:p w14:paraId="5A7A04D7" w14:textId="77777777" w:rsidR="003A55AF" w:rsidRDefault="00000000">
      <w:pPr>
        <w:pStyle w:val="BodyText"/>
      </w:pPr>
      <w:r>
        <w:t>Third, recursive dynamics should be bounded by a condition that applies to the transition actually executed by the model. A lag-free check is insufficient when fitted relationships contain lags.</w:t>
      </w:r>
    </w:p>
    <w:p w14:paraId="16188C51" w14:textId="137E2788" w:rsidR="003A55AF" w:rsidRDefault="00000000">
      <w:pPr>
        <w:pStyle w:val="BodyText"/>
      </w:pPr>
      <w:r>
        <w:t xml:space="preserve">Restricted vector autoregressions can impose coefficient restrictions </w:t>
      </w:r>
      <w:sdt>
        <w:sdtPr>
          <w:id w:val="-1332754200"/>
          <w:citation/>
        </w:sdtPr>
        <w:sdtContent>
          <w:r>
            <w:fldChar w:fldCharType="begin"/>
          </w:r>
          <w:r>
            <w:instrText xml:space="preserve"> CITATION Sim80 \l en-US </w:instrText>
          </w:r>
          <w:r>
            <w:fldChar w:fldCharType="separate"/>
          </w:r>
          <w:r>
            <w:rPr>
              <w:noProof/>
            </w:rPr>
            <w:t>[1]</w:t>
          </w:r>
          <w:r>
            <w:fldChar w:fldCharType="end"/>
          </w:r>
        </w:sdtContent>
      </w:sdt>
      <w:r>
        <w:t xml:space="preserve">, </w:t>
      </w:r>
      <w:sdt>
        <w:sdtPr>
          <w:id w:val="-741860555"/>
          <w:citation/>
        </w:sdtPr>
        <w:sdtContent>
          <w:r>
            <w:fldChar w:fldCharType="begin"/>
          </w:r>
          <w:r>
            <w:instrText xml:space="preserve"> CITATION Ltk05 \l en-US </w:instrText>
          </w:r>
          <w:r>
            <w:fldChar w:fldCharType="separate"/>
          </w:r>
          <w:r>
            <w:rPr>
              <w:noProof/>
            </w:rPr>
            <w:t>[2]</w:t>
          </w:r>
          <w:r>
            <w:fldChar w:fldCharType="end"/>
          </w:r>
        </w:sdtContent>
      </w:sdt>
      <w:r>
        <w:t xml:space="preserve">, sparse VAR estimators reduce dense </w:t>
      </w:r>
      <w:r>
        <w:t xml:space="preserve">coefficient sets </w:t>
      </w:r>
      <w:sdt>
        <w:sdtPr>
          <w:id w:val="265809652"/>
          <w:citation/>
        </w:sdtPr>
        <w:sdtContent>
          <w:r>
            <w:fldChar w:fldCharType="begin"/>
          </w:r>
          <w:r>
            <w:instrText xml:space="preserve"> CITATION Tib96 \l en-US </w:instrText>
          </w:r>
          <w:r>
            <w:fldChar w:fldCharType="separate"/>
          </w:r>
          <w:r>
            <w:rPr>
              <w:noProof/>
            </w:rPr>
            <w:t>[3]</w:t>
          </w:r>
          <w:r>
            <w:fldChar w:fldCharType="end"/>
          </w:r>
        </w:sdtContent>
      </w:sdt>
      <w:r>
        <w:t xml:space="preserve">, </w:t>
      </w:r>
      <w:sdt>
        <w:sdtPr>
          <w:id w:val="1800255032"/>
          <w:citation/>
        </w:sdtPr>
        <w:sdtContent>
          <w:r>
            <w:fldChar w:fldCharType="begin"/>
          </w:r>
          <w:r>
            <w:instrText xml:space="preserve"> CITATION Bie17 \l en-US </w:instrText>
          </w:r>
          <w:r>
            <w:fldChar w:fldCharType="separate"/>
          </w:r>
          <w:r>
            <w:rPr>
              <w:noProof/>
            </w:rPr>
            <w:t>[4]</w:t>
          </w:r>
          <w:r>
            <w:fldChar w:fldCharType="end"/>
          </w:r>
        </w:sdtContent>
      </w:sdt>
      <w:r>
        <w:t xml:space="preserve">, and sparse system-identification methods select compact nonlinear terms </w:t>
      </w:r>
      <w:sdt>
        <w:sdtPr>
          <w:id w:val="-205102111"/>
          <w:citation/>
        </w:sdtPr>
        <w:sdtContent>
          <w:r>
            <w:fldChar w:fldCharType="begin"/>
          </w:r>
          <w:r>
            <w:instrText xml:space="preserve"> CITATION Kut16 \l en-US </w:instrText>
          </w:r>
          <w:r>
            <w:fldChar w:fldCharType="separate"/>
          </w:r>
          <w:r>
            <w:rPr>
              <w:noProof/>
            </w:rPr>
            <w:t>[5]</w:t>
          </w:r>
          <w:r>
            <w:fldChar w:fldCharType="end"/>
          </w:r>
        </w:sdtContent>
      </w:sdt>
      <w:r>
        <w:t xml:space="preserve">, </w:t>
      </w:r>
      <w:sdt>
        <w:sdtPr>
          <w:id w:val="130761047"/>
          <w:citation/>
        </w:sdtPr>
        <w:sdtContent>
          <w:r>
            <w:fldChar w:fldCharType="begin"/>
          </w:r>
          <w:r>
            <w:instrText xml:space="preserve"> CITATION Kut20 \l en-US </w:instrText>
          </w:r>
          <w:r>
            <w:fldChar w:fldCharType="separate"/>
          </w:r>
          <w:r>
            <w:rPr>
              <w:noProof/>
            </w:rPr>
            <w:t>[6]</w:t>
          </w:r>
          <w:r>
            <w:fldChar w:fldCharType="end"/>
          </w:r>
        </w:sdtContent>
      </w:sdt>
      <w:r>
        <w:t>. QNTUM combines these ideas in an explicit influence store intended for inspection and scenario editing.</w:t>
      </w:r>
    </w:p>
    <w:p w14:paraId="46CBBB98" w14:textId="77777777" w:rsidR="003A55AF" w:rsidRDefault="00000000">
      <w:pPr>
        <w:pStyle w:val="Heading2"/>
      </w:pPr>
      <w:r>
        <w:t>What QNTUM is</w:t>
      </w:r>
    </w:p>
    <w:p w14:paraId="10E88A97" w14:textId="77777777" w:rsidR="003A55AF" w:rsidRDefault="00000000">
      <w:pPr>
        <w:pStyle w:val="BodyText"/>
      </w:pPr>
      <w:r>
        <w:t>QNTUM evolves one standardized increment per variable in discrete time. Relationships are stored as named entries containing a target, one or more sources, an integer lag, a feature, a coefficient, an admission score, and a constraint status. Expert entries may be fixed, sign-constrained, bounded, or forbidden. Free entries are selected and estimated jointly.</w:t>
      </w:r>
    </w:p>
    <w:p w14:paraId="44198A90" w14:textId="77777777" w:rsidR="003A55AF" w:rsidRDefault="00000000">
      <w:pPr>
        <w:pStyle w:val="BodyText"/>
      </w:pPr>
      <w:r>
        <w:t>Each target may also carry an event envelope with inactive, formation, stable, and decay phases. The envelope controls when incoming influence is active. Linear lagged dynamics are assembled into a companion matrix for stability assessment. Forecast intervals are calibrated on a chronological segment that is separate from the final test period.</w:t>
      </w:r>
    </w:p>
    <w:p w14:paraId="22E589A3" w14:textId="77777777" w:rsidR="003A55AF" w:rsidRDefault="00000000">
      <w:pPr>
        <w:pStyle w:val="Heading2"/>
      </w:pPr>
      <w:r>
        <w:t>Contributions</w:t>
      </w:r>
    </w:p>
    <w:p w14:paraId="5ADDE517" w14:textId="77777777" w:rsidR="003A55AF" w:rsidRDefault="00000000">
      <w:pPr>
        <w:pStyle w:val="bulletlist"/>
      </w:pPr>
      <w:r>
        <w:rPr>
          <w:b/>
        </w:rPr>
        <w:t>A named influence store</w:t>
      </w:r>
      <w:r>
        <w:t xml:space="preserve"> in which individual relationships carry explicit sources, targets, lags, coefficients, and constraint states.</w:t>
      </w:r>
    </w:p>
    <w:p w14:paraId="0DAA8A03" w14:textId="77777777" w:rsidR="003A55AF" w:rsidRDefault="00000000">
      <w:pPr>
        <w:pStyle w:val="bulletlist"/>
      </w:pPr>
      <w:r>
        <w:rPr>
          <w:b/>
        </w:rPr>
        <w:t>Exact expert constraints</w:t>
      </w:r>
      <w:r>
        <w:t xml:space="preserve"> supporting fixed values, signs, intervals, and forbidden edges.</w:t>
      </w:r>
    </w:p>
    <w:p w14:paraId="627D42B8" w14:textId="77777777" w:rsidR="003A55AF" w:rsidRDefault="00000000">
      <w:pPr>
        <w:pStyle w:val="bulletlist"/>
      </w:pPr>
      <w:r>
        <w:rPr>
          <w:b/>
        </w:rPr>
        <w:t>Joint sparse estimation</w:t>
      </w:r>
      <w:r>
        <w:t xml:space="preserve"> of unconstrained entries, avoiding independent marginal coefficient fits.</w:t>
      </w:r>
    </w:p>
    <w:p w14:paraId="7A757E6F" w14:textId="77777777" w:rsidR="003A55AF" w:rsidRDefault="00000000">
      <w:pPr>
        <w:pStyle w:val="bulletlist"/>
      </w:pPr>
      <w:r>
        <w:rPr>
          <w:b/>
        </w:rPr>
        <w:t>Lag-aware stability assessment</w:t>
      </w:r>
      <w:r>
        <w:t xml:space="preserve"> through the companion matrix of the fitted linear recurrence.</w:t>
      </w:r>
    </w:p>
    <w:p w14:paraId="08805041" w14:textId="77777777" w:rsidR="003A55AF" w:rsidRDefault="00000000">
      <w:pPr>
        <w:pStyle w:val="bulletlist"/>
      </w:pPr>
      <w:r>
        <w:rPr>
          <w:b/>
        </w:rPr>
        <w:t>A chronological evaluation protocol</w:t>
      </w:r>
      <w:r>
        <w:t xml:space="preserve"> covering recursive forecasts, transparent baselines, interval coverage, incorrect-pin sensitivity, and reproducible experiment artifacts.</w:t>
      </w:r>
    </w:p>
    <w:p w14:paraId="3D937EB1" w14:textId="77777777" w:rsidR="003A55AF" w:rsidRDefault="00000000">
      <w:pPr>
        <w:pStyle w:val="BodyText"/>
      </w:pPr>
      <w:r>
        <w:t>The remainder of the paper follows the original QNTUM structure. Section 2 places the model against the methods from which it draws. Section 3 defines the model formally and explains each object in plain language. Section 4 evaluates known-ground-truth systems, observed panels, and stability. Section 5 discusses the operating range and limitations. Section 6 concludes and identifies the next empirical requirements.</w:t>
      </w:r>
    </w:p>
    <w:p w14:paraId="5E70252A" w14:textId="77777777" w:rsidR="003A55AF" w:rsidRDefault="00000000">
      <w:pPr>
        <w:pStyle w:val="Heading1"/>
      </w:pPr>
      <w:r>
        <w:t>Background</w:t>
      </w:r>
    </w:p>
    <w:p w14:paraId="0F4EA66F" w14:textId="77777777" w:rsidR="003A55AF" w:rsidRDefault="00000000">
      <w:pPr>
        <w:pStyle w:val="BodyText"/>
      </w:pPr>
      <w:r>
        <w:t>QNTUM lies at the intersection of multivariate forecasting, sparse system identification, event dynamics, robust preprocessing, and predictive uncertainty.</w:t>
      </w:r>
    </w:p>
    <w:p w14:paraId="5753B28F" w14:textId="77777777" w:rsidR="003A55AF" w:rsidRDefault="00000000">
      <w:pPr>
        <w:pStyle w:val="Heading2"/>
      </w:pPr>
      <w:r>
        <w:lastRenderedPageBreak/>
        <w:t>Linear multivariate forecasting</w:t>
      </w:r>
    </w:p>
    <w:p w14:paraId="40F607AB" w14:textId="3820CCB1" w:rsidR="003A55AF" w:rsidRDefault="00000000">
      <w:pPr>
        <w:pStyle w:val="BodyText"/>
      </w:pPr>
      <w:r>
        <w:t xml:space="preserve">Vector autoregression represents each variable as a function of lagged values of all variables </w:t>
      </w:r>
      <w:sdt>
        <w:sdtPr>
          <w:id w:val="114266123"/>
          <w:citation/>
        </w:sdtPr>
        <w:sdtContent>
          <w:r>
            <w:fldChar w:fldCharType="begin"/>
          </w:r>
          <w:r>
            <w:instrText xml:space="preserve"> CITATION Sim80 \l en-US </w:instrText>
          </w:r>
          <w:r>
            <w:fldChar w:fldCharType="separate"/>
          </w:r>
          <w:r>
            <w:rPr>
              <w:noProof/>
            </w:rPr>
            <w:t>[1]</w:t>
          </w:r>
          <w:r>
            <w:fldChar w:fldCharType="end"/>
          </w:r>
        </w:sdtContent>
      </w:sdt>
      <w:r>
        <w:t xml:space="preserve">, </w:t>
      </w:r>
      <w:sdt>
        <w:sdtPr>
          <w:id w:val="1515416179"/>
          <w:citation/>
        </w:sdtPr>
        <w:sdtContent>
          <w:r>
            <w:fldChar w:fldCharType="begin"/>
          </w:r>
          <w:r>
            <w:instrText xml:space="preserve"> CITATION Ltk05 \l en-US </w:instrText>
          </w:r>
          <w:r>
            <w:fldChar w:fldCharType="separate"/>
          </w:r>
          <w:r>
            <w:rPr>
              <w:noProof/>
            </w:rPr>
            <w:t>[2]</w:t>
          </w:r>
          <w:r>
            <w:fldChar w:fldCharType="end"/>
          </w:r>
        </w:sdtContent>
      </w:sdt>
      <w:r>
        <w:t>. Equality restrictions can fix selected coefficients, and the companion-matrix eigenvalues determine stability for a linear VAR. QNTUM retains this linear foundation but exposes each nonzero coefficient as a named relationship object.</w:t>
      </w:r>
    </w:p>
    <w:p w14:paraId="3990FE4B" w14:textId="77777777" w:rsidR="003A55AF" w:rsidRDefault="00000000">
      <w:pPr>
        <w:pStyle w:val="Heading2"/>
      </w:pPr>
      <w:r>
        <w:t>Sparsity and system identification</w:t>
      </w:r>
    </w:p>
    <w:p w14:paraId="0A784E8D" w14:textId="605B17F2" w:rsidR="003A55AF" w:rsidRDefault="00000000">
      <w:pPr>
        <w:pStyle w:val="BodyText"/>
      </w:pPr>
      <w:r>
        <w:t xml:space="preserve">The lasso introduced coefficient sparsity through regularization </w:t>
      </w:r>
      <w:sdt>
        <w:sdtPr>
          <w:id w:val="426389882"/>
          <w:citation/>
        </w:sdtPr>
        <w:sdtContent>
          <w:r>
            <w:fldChar w:fldCharType="begin"/>
          </w:r>
          <w:r>
            <w:instrText xml:space="preserve"> CITATION Tib96 \l en-US </w:instrText>
          </w:r>
          <w:r>
            <w:fldChar w:fldCharType="separate"/>
          </w:r>
          <w:r>
            <w:rPr>
              <w:noProof/>
            </w:rPr>
            <w:t>[3]</w:t>
          </w:r>
          <w:r>
            <w:fldChar w:fldCharType="end"/>
          </w:r>
        </w:sdtContent>
      </w:sdt>
      <w:r>
        <w:t xml:space="preserve">. Structured sparse VAR estimators extend this principle to multivariate lag models </w:t>
      </w:r>
      <w:sdt>
        <w:sdtPr>
          <w:id w:val="1563207687"/>
          <w:citation/>
        </w:sdtPr>
        <w:sdtContent>
          <w:r>
            <w:fldChar w:fldCharType="begin"/>
          </w:r>
          <w:r>
            <w:instrText xml:space="preserve"> CITATION Bie17 \l en-US </w:instrText>
          </w:r>
          <w:r>
            <w:fldChar w:fldCharType="separate"/>
          </w:r>
          <w:r>
            <w:rPr>
              <w:noProof/>
            </w:rPr>
            <w:t>[4]</w:t>
          </w:r>
          <w:r>
            <w:fldChar w:fldCharType="end"/>
          </w:r>
        </w:sdtContent>
      </w:sdt>
      <w:r>
        <w:t xml:space="preserve">. SINDy and SR3 recover compact dynamical equations from candidate functions </w:t>
      </w:r>
      <w:sdt>
        <w:sdtPr>
          <w:id w:val="-2051134157"/>
          <w:citation/>
        </w:sdtPr>
        <w:sdtContent>
          <w:r>
            <w:fldChar w:fldCharType="begin"/>
          </w:r>
          <w:r>
            <w:instrText xml:space="preserve"> CITATION Kut16 \l en-US </w:instrText>
          </w:r>
          <w:r>
            <w:fldChar w:fldCharType="separate"/>
          </w:r>
          <w:r>
            <w:rPr>
              <w:noProof/>
            </w:rPr>
            <w:t>[5]</w:t>
          </w:r>
          <w:r>
            <w:fldChar w:fldCharType="end"/>
          </w:r>
        </w:sdtContent>
      </w:sdt>
      <w:r>
        <w:t xml:space="preserve">, </w:t>
      </w:r>
      <w:sdt>
        <w:sdtPr>
          <w:id w:val="1583491607"/>
          <w:citation/>
        </w:sdtPr>
        <w:sdtContent>
          <w:r>
            <w:fldChar w:fldCharType="begin"/>
          </w:r>
          <w:r>
            <w:instrText xml:space="preserve"> CITATION Kut20 \l en-US </w:instrText>
          </w:r>
          <w:r>
            <w:fldChar w:fldCharType="separate"/>
          </w:r>
          <w:r>
            <w:rPr>
              <w:noProof/>
            </w:rPr>
            <w:t>[6]</w:t>
          </w:r>
          <w:r>
            <w:fldChar w:fldCharType="end"/>
          </w:r>
        </w:sdtContent>
      </w:sdt>
      <w:r>
        <w:t>. QNTUM uses a smaller candidate library of pair, product, and declared formula terms. Its distinguishing feature is the constraint and editing metadata retained with every selected term.</w:t>
      </w:r>
    </w:p>
    <w:p w14:paraId="446A3FC1" w14:textId="77777777" w:rsidR="003A55AF" w:rsidRDefault="00000000">
      <w:pPr>
        <w:pStyle w:val="Heading2"/>
      </w:pPr>
      <w:r>
        <w:t>Event dynamics</w:t>
      </w:r>
    </w:p>
    <w:p w14:paraId="3B1CA25C" w14:textId="5B24E3DD" w:rsidR="003A55AF" w:rsidRDefault="00000000">
      <w:pPr>
        <w:pStyle w:val="BodyText"/>
      </w:pPr>
      <w:r>
        <w:t xml:space="preserve">Hawkes processes use decaying kernels to represent fading event influence </w:t>
      </w:r>
      <w:sdt>
        <w:sdtPr>
          <w:id w:val="179089945"/>
          <w:citation/>
        </w:sdtPr>
        <w:sdtContent>
          <w:r>
            <w:fldChar w:fldCharType="begin"/>
          </w:r>
          <w:r>
            <w:instrText xml:space="preserve"> CITATION Haw71 \l en-US </w:instrText>
          </w:r>
          <w:r>
            <w:fldChar w:fldCharType="separate"/>
          </w:r>
          <w:r>
            <w:rPr>
              <w:noProof/>
            </w:rPr>
            <w:t>[7]</w:t>
          </w:r>
          <w:r>
            <w:fldChar w:fldCharType="end"/>
          </w:r>
        </w:sdtContent>
      </w:sdt>
      <w:r>
        <w:t>. QNTUM does not model event-arrival intensity. It uses a deterministic phase envelope to specify when a target responds to the relationships already stored in the model.</w:t>
      </w:r>
    </w:p>
    <w:p w14:paraId="548D75B1" w14:textId="77777777" w:rsidR="003A55AF" w:rsidRDefault="00000000">
      <w:pPr>
        <w:pStyle w:val="Heading2"/>
      </w:pPr>
      <w:r>
        <w:t>Deep probabilistic forecasting, and why this model does not compete with it</w:t>
      </w:r>
    </w:p>
    <w:p w14:paraId="51E8F213" w14:textId="5EA25DA4" w:rsidR="003A55AF" w:rsidRDefault="00000000">
      <w:pPr>
        <w:pStyle w:val="BodyText"/>
      </w:pPr>
      <w:r>
        <w:t xml:space="preserve">DeepAR and related global models learn across large collections of related series and provide probabilistic forecasts </w:t>
      </w:r>
      <w:sdt>
        <w:sdtPr>
          <w:id w:val="-617529204"/>
          <w:citation/>
        </w:sdtPr>
        <w:sdtContent>
          <w:r>
            <w:fldChar w:fldCharType="begin"/>
          </w:r>
          <w:r>
            <w:instrText xml:space="preserve"> CITATION Jan20 \l en-US </w:instrText>
          </w:r>
          <w:r>
            <w:fldChar w:fldCharType="separate"/>
          </w:r>
          <w:r>
            <w:rPr>
              <w:noProof/>
            </w:rPr>
            <w:t>[8]</w:t>
          </w:r>
          <w:r>
            <w:fldChar w:fldCharType="end"/>
          </w:r>
        </w:sdtContent>
      </w:sdt>
      <w:r>
        <w:t xml:space="preserve">. The M4 results also show that carefully applied statistical and hybrid methods remain competitive across heterogeneous forecasting tasks </w:t>
      </w:r>
      <w:sdt>
        <w:sdtPr>
          <w:id w:val="-1832209077"/>
          <w:citation/>
        </w:sdtPr>
        <w:sdtContent>
          <w:r>
            <w:fldChar w:fldCharType="begin"/>
          </w:r>
          <w:r>
            <w:instrText xml:space="preserve"> CITATION Ass20 \l en-US </w:instrText>
          </w:r>
          <w:r>
            <w:fldChar w:fldCharType="separate"/>
          </w:r>
          <w:r>
            <w:rPr>
              <w:noProof/>
            </w:rPr>
            <w:t>[9]</w:t>
          </w:r>
          <w:r>
            <w:fldChar w:fldCharType="end"/>
          </w:r>
        </w:sdtContent>
      </w:sdt>
      <w:r>
        <w:t>. QNTUM addresses a different operating regime: small coupled systems in which individual relationships must remain visible and editable. Its value must therefore be judged against constrained and sparse interpretable baselines, not against large-panel representation learning alone.</w:t>
      </w:r>
    </w:p>
    <w:p w14:paraId="709B9685" w14:textId="77777777" w:rsidR="003A55AF" w:rsidRDefault="00000000">
      <w:pPr>
        <w:pStyle w:val="Heading2"/>
      </w:pPr>
      <w:r>
        <w:t>Robust preprocessing and resampled uncertainty</w:t>
      </w:r>
    </w:p>
    <w:p w14:paraId="1BEA616F" w14:textId="492D1E52" w:rsidR="003A55AF" w:rsidRDefault="00000000">
      <w:pPr>
        <w:pStyle w:val="BodyText"/>
      </w:pPr>
      <w:r>
        <w:t xml:space="preserve">Median and median absolute deviation provide outlier-resistant location and scale estimates </w:t>
      </w:r>
      <w:sdt>
        <w:sdtPr>
          <w:id w:val="1814760031"/>
          <w:citation/>
        </w:sdtPr>
        <w:sdtContent>
          <w:r>
            <w:fldChar w:fldCharType="begin"/>
          </w:r>
          <w:r>
            <w:instrText xml:space="preserve"> CITATION Lic13 \l en-US </w:instrText>
          </w:r>
          <w:r>
            <w:fldChar w:fldCharType="separate"/>
          </w:r>
          <w:r>
            <w:rPr>
              <w:noProof/>
            </w:rPr>
            <w:t>[10]</w:t>
          </w:r>
          <w:r>
            <w:fldChar w:fldCharType="end"/>
          </w:r>
        </w:sdtContent>
      </w:sdt>
      <w:r>
        <w:t xml:space="preserve">. QNTUM applies these statistics to training increments only. Predictive uncertainty is evaluated with chronological conformal calibration </w:t>
      </w:r>
      <w:sdt>
        <w:sdtPr>
          <w:id w:val="998305675"/>
          <w:citation/>
        </w:sdtPr>
        <w:sdtContent>
          <w:r>
            <w:fldChar w:fldCharType="begin"/>
          </w:r>
          <w:r>
            <w:instrText xml:space="preserve"> CITATION Vov08 \l en-US </w:instrText>
          </w:r>
          <w:r>
            <w:fldChar w:fldCharType="separate"/>
          </w:r>
          <w:r>
            <w:rPr>
              <w:noProof/>
            </w:rPr>
            <w:t>[11]</w:t>
          </w:r>
          <w:r>
            <w:fldChar w:fldCharType="end"/>
          </w:r>
        </w:sdtContent>
      </w:sdt>
      <w:r>
        <w:t xml:space="preserve">, </w:t>
      </w:r>
      <w:sdt>
        <w:sdtPr>
          <w:id w:val="185570951"/>
          <w:citation/>
        </w:sdtPr>
        <w:sdtContent>
          <w:r>
            <w:fldChar w:fldCharType="begin"/>
          </w:r>
          <w:r>
            <w:instrText xml:space="preserve"> CITATION Sch21 \l en-US </w:instrText>
          </w:r>
          <w:r>
            <w:fldChar w:fldCharType="separate"/>
          </w:r>
          <w:r>
            <w:rPr>
              <w:noProof/>
            </w:rPr>
            <w:t>[12]</w:t>
          </w:r>
          <w:r>
            <w:fldChar w:fldCharType="end"/>
          </w:r>
        </w:sdtContent>
      </w:sdt>
      <w:r>
        <w:t>. Time dependence weakens exchangeability-based guarantees, so empirical coverage is reported on untouched test observations.</w:t>
      </w:r>
    </w:p>
    <w:p w14:paraId="09A88F35" w14:textId="77777777" w:rsidR="003A55AF" w:rsidRDefault="00000000">
      <w:pPr>
        <w:pStyle w:val="Heading2"/>
      </w:pPr>
      <w:r>
        <w:t>The gap</w:t>
      </w:r>
    </w:p>
    <w:p w14:paraId="228A9A5B" w14:textId="77777777" w:rsidR="003A55AF" w:rsidRDefault="00000000">
      <w:pPr>
        <w:pStyle w:val="Caption"/>
      </w:pPr>
      <w:r>
        <w:rPr>
          <w:i w:val="0"/>
        </w:rPr>
        <w:t>Table 1. Relationship between QNTUM and neighbouring approaches.</w:t>
      </w:r>
    </w:p>
    <w:tbl>
      <w:tblPr>
        <w:tblStyle w:val="PlainTable2"/>
        <w:tblW w:w="0pt" w:type="auto"/>
        <w:tblLook w:firstRow="1" w:lastRow="0" w:firstColumn="1" w:lastColumn="0" w:noHBand="0" w:noVBand="1"/>
      </w:tblPr>
      <w:tblGrid>
        <w:gridCol w:w="1751"/>
        <w:gridCol w:w="1457"/>
        <w:gridCol w:w="1658"/>
      </w:tblGrid>
      <w:tr w:rsidR="003A55AF" w14:paraId="5B63DD47" w14:textId="77777777" w:rsidTr="003A55AF">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68.20pt" w:type="dxa"/>
          </w:tcPr>
          <w:p w14:paraId="3A504E14" w14:textId="77777777" w:rsidR="003A55AF" w:rsidRDefault="00000000">
            <w:r>
              <w:rPr>
                <w:sz w:val="16"/>
                <w:szCs w:val="16"/>
              </w:rPr>
              <w:t>Approach</w:t>
            </w:r>
          </w:p>
        </w:tc>
        <w:tc>
          <w:tcPr>
            <w:tcW w:w="168.20pt" w:type="dxa"/>
          </w:tcPr>
          <w:p w14:paraId="35D037DF"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Established capability</w:t>
            </w:r>
          </w:p>
        </w:tc>
        <w:tc>
          <w:tcPr>
            <w:tcW w:w="168.20pt" w:type="dxa"/>
          </w:tcPr>
          <w:p w14:paraId="0FFC415A"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QNTUM representation</w:t>
            </w:r>
          </w:p>
        </w:tc>
      </w:tr>
      <w:tr w:rsidR="003A55AF" w14:paraId="50F063F4"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68.20pt" w:type="dxa"/>
          </w:tcPr>
          <w:p w14:paraId="212CE6DA" w14:textId="3A2FD5CF" w:rsidR="003A55AF" w:rsidRDefault="00000000">
            <w:r>
              <w:rPr>
                <w:b w:val="0"/>
                <w:sz w:val="16"/>
                <w:szCs w:val="16"/>
              </w:rPr>
              <w:t xml:space="preserve">Restricted VAR </w:t>
            </w:r>
            <w:sdt>
              <w:sdtPr>
                <w:id w:val="723802522"/>
                <w:citation/>
              </w:sdtPr>
              <w:sdtContent>
                <w:r>
                  <w:rPr>
                    <w:sz w:val="16"/>
                    <w:szCs w:val="16"/>
                  </w:rPr>
                  <w:fldChar w:fldCharType="begin"/>
                </w:r>
                <w:r>
                  <w:rPr>
                    <w:sz w:val="16"/>
                    <w:szCs w:val="16"/>
                  </w:rPr>
                  <w:instrText xml:space="preserve"> CITATION Sim80 \l en-US </w:instrText>
                </w:r>
                <w:r>
                  <w:rPr>
                    <w:sz w:val="16"/>
                    <w:szCs w:val="16"/>
                  </w:rPr>
                  <w:fldChar w:fldCharType="separate"/>
                </w:r>
                <w:r>
                  <w:rPr>
                    <w:noProof/>
                    <w:sz w:val="16"/>
                    <w:szCs w:val="16"/>
                  </w:rPr>
                  <w:t>[1]</w:t>
                </w:r>
                <w:r>
                  <w:rPr>
                    <w:sz w:val="16"/>
                    <w:szCs w:val="16"/>
                  </w:rPr>
                  <w:fldChar w:fldCharType="end"/>
                </w:r>
              </w:sdtContent>
            </w:sdt>
            <w:r>
              <w:rPr>
                <w:b w:val="0"/>
                <w:sz w:val="16"/>
                <w:szCs w:val="16"/>
              </w:rPr>
              <w:t xml:space="preserve">, </w:t>
            </w:r>
            <w:sdt>
              <w:sdtPr>
                <w:id w:val="-1304850560"/>
                <w:citation/>
              </w:sdtPr>
              <w:sdtContent>
                <w:r>
                  <w:rPr>
                    <w:sz w:val="16"/>
                    <w:szCs w:val="16"/>
                  </w:rPr>
                  <w:fldChar w:fldCharType="begin"/>
                </w:r>
                <w:r>
                  <w:rPr>
                    <w:sz w:val="16"/>
                    <w:szCs w:val="16"/>
                  </w:rPr>
                  <w:instrText xml:space="preserve"> CITATION Ltk05 \l en-US </w:instrText>
                </w:r>
                <w:r>
                  <w:rPr>
                    <w:sz w:val="16"/>
                    <w:szCs w:val="16"/>
                  </w:rPr>
                  <w:fldChar w:fldCharType="separate"/>
                </w:r>
                <w:r>
                  <w:rPr>
                    <w:noProof/>
                    <w:sz w:val="16"/>
                    <w:szCs w:val="16"/>
                  </w:rPr>
                  <w:t>[2]</w:t>
                </w:r>
                <w:r>
                  <w:rPr>
                    <w:sz w:val="16"/>
                    <w:szCs w:val="16"/>
                  </w:rPr>
                  <w:fldChar w:fldCharType="end"/>
                </w:r>
              </w:sdtContent>
            </w:sdt>
          </w:p>
        </w:tc>
        <w:tc>
          <w:tcPr>
            <w:tcW w:w="168.20pt" w:type="dxa"/>
          </w:tcPr>
          <w:p w14:paraId="52A10EEA"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Linear lagged coupling and exact restrictions</w:t>
            </w:r>
          </w:p>
        </w:tc>
        <w:tc>
          <w:tcPr>
            <w:tcW w:w="168.20pt" w:type="dxa"/>
          </w:tcPr>
          <w:p w14:paraId="07C5F90F"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Named local constraints and editable entries</w:t>
            </w:r>
          </w:p>
        </w:tc>
      </w:tr>
      <w:tr w:rsidR="003A55AF" w14:paraId="3B3CEBA1" w14:textId="77777777" w:rsidTr="003A55AF">
        <w:tc>
          <w:tcPr>
            <w:cnfStyle w:firstRow="0" w:lastRow="0" w:firstColumn="1" w:lastColumn="0" w:oddVBand="0" w:evenVBand="0" w:oddHBand="0" w:evenHBand="0" w:firstRowFirstColumn="0" w:firstRowLastColumn="0" w:lastRowFirstColumn="0" w:lastRowLastColumn="0"/>
            <w:tcW w:w="168.20pt" w:type="dxa"/>
          </w:tcPr>
          <w:p w14:paraId="313767A0" w14:textId="357821B2" w:rsidR="003A55AF" w:rsidRDefault="00000000">
            <w:r>
              <w:rPr>
                <w:b w:val="0"/>
                <w:sz w:val="16"/>
                <w:szCs w:val="16"/>
              </w:rPr>
              <w:t xml:space="preserve">Sparse VAR </w:t>
            </w:r>
            <w:sdt>
              <w:sdtPr>
                <w:id w:val="-1915382664"/>
                <w:citation/>
              </w:sdtPr>
              <w:sdtContent>
                <w:r>
                  <w:rPr>
                    <w:sz w:val="16"/>
                    <w:szCs w:val="16"/>
                  </w:rPr>
                  <w:fldChar w:fldCharType="begin"/>
                </w:r>
                <w:r>
                  <w:rPr>
                    <w:sz w:val="16"/>
                    <w:szCs w:val="16"/>
                  </w:rPr>
                  <w:instrText xml:space="preserve"> CITATION Tib96 \l en-US </w:instrText>
                </w:r>
                <w:r>
                  <w:rPr>
                    <w:sz w:val="16"/>
                    <w:szCs w:val="16"/>
                  </w:rPr>
                  <w:fldChar w:fldCharType="separate"/>
                </w:r>
                <w:r>
                  <w:rPr>
                    <w:noProof/>
                    <w:sz w:val="16"/>
                    <w:szCs w:val="16"/>
                  </w:rPr>
                  <w:t>[3]</w:t>
                </w:r>
                <w:r>
                  <w:rPr>
                    <w:sz w:val="16"/>
                    <w:szCs w:val="16"/>
                  </w:rPr>
                  <w:fldChar w:fldCharType="end"/>
                </w:r>
              </w:sdtContent>
            </w:sdt>
            <w:r>
              <w:rPr>
                <w:b w:val="0"/>
                <w:sz w:val="16"/>
                <w:szCs w:val="16"/>
              </w:rPr>
              <w:t xml:space="preserve">, </w:t>
            </w:r>
            <w:sdt>
              <w:sdtPr>
                <w:id w:val="389466129"/>
                <w:citation/>
              </w:sdtPr>
              <w:sdtContent>
                <w:r>
                  <w:rPr>
                    <w:sz w:val="16"/>
                    <w:szCs w:val="16"/>
                  </w:rPr>
                  <w:fldChar w:fldCharType="begin"/>
                </w:r>
                <w:r>
                  <w:rPr>
                    <w:sz w:val="16"/>
                    <w:szCs w:val="16"/>
                  </w:rPr>
                  <w:instrText xml:space="preserve"> CITATION Bie17 \l en-US </w:instrText>
                </w:r>
                <w:r>
                  <w:rPr>
                    <w:sz w:val="16"/>
                    <w:szCs w:val="16"/>
                  </w:rPr>
                  <w:fldChar w:fldCharType="separate"/>
                </w:r>
                <w:r>
                  <w:rPr>
                    <w:noProof/>
                    <w:sz w:val="16"/>
                    <w:szCs w:val="16"/>
                  </w:rPr>
                  <w:t>[4]</w:t>
                </w:r>
                <w:r>
                  <w:rPr>
                    <w:sz w:val="16"/>
                    <w:szCs w:val="16"/>
                  </w:rPr>
                  <w:fldChar w:fldCharType="end"/>
                </w:r>
              </w:sdtContent>
            </w:sdt>
          </w:p>
        </w:tc>
        <w:tc>
          <w:tcPr>
            <w:tcW w:w="168.20pt" w:type="dxa"/>
          </w:tcPr>
          <w:p w14:paraId="358F32C0"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Joint regularized coefficient estimation</w:t>
            </w:r>
          </w:p>
        </w:tc>
        <w:tc>
          <w:tcPr>
            <w:tcW w:w="168.20pt" w:type="dxa"/>
          </w:tcPr>
          <w:p w14:paraId="519AD07B"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Sparse coefficients retained as relationship objects</w:t>
            </w:r>
          </w:p>
        </w:tc>
      </w:tr>
      <w:tr w:rsidR="003A55AF" w14:paraId="76158530"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68.20pt" w:type="dxa"/>
          </w:tcPr>
          <w:p w14:paraId="2B285D60" w14:textId="68C777EB" w:rsidR="003A55AF" w:rsidRDefault="00000000">
            <w:r>
              <w:rPr>
                <w:b w:val="0"/>
                <w:sz w:val="16"/>
                <w:szCs w:val="16"/>
              </w:rPr>
              <w:t xml:space="preserve">SINDy and SR3 </w:t>
            </w:r>
            <w:sdt>
              <w:sdtPr>
                <w:id w:val="-1530247096"/>
                <w:citation/>
              </w:sdtPr>
              <w:sdtContent>
                <w:r>
                  <w:rPr>
                    <w:sz w:val="16"/>
                    <w:szCs w:val="16"/>
                  </w:rPr>
                  <w:fldChar w:fldCharType="begin"/>
                </w:r>
                <w:r>
                  <w:rPr>
                    <w:sz w:val="16"/>
                    <w:szCs w:val="16"/>
                  </w:rPr>
                  <w:instrText xml:space="preserve"> CITATION Kut16 \l en-US </w:instrText>
                </w:r>
                <w:r>
                  <w:rPr>
                    <w:sz w:val="16"/>
                    <w:szCs w:val="16"/>
                  </w:rPr>
                  <w:fldChar w:fldCharType="separate"/>
                </w:r>
                <w:r>
                  <w:rPr>
                    <w:noProof/>
                    <w:sz w:val="16"/>
                    <w:szCs w:val="16"/>
                  </w:rPr>
                  <w:t>[5]</w:t>
                </w:r>
                <w:r>
                  <w:rPr>
                    <w:sz w:val="16"/>
                    <w:szCs w:val="16"/>
                  </w:rPr>
                  <w:fldChar w:fldCharType="end"/>
                </w:r>
              </w:sdtContent>
            </w:sdt>
            <w:r>
              <w:rPr>
                <w:b w:val="0"/>
                <w:sz w:val="16"/>
                <w:szCs w:val="16"/>
              </w:rPr>
              <w:t xml:space="preserve">, </w:t>
            </w:r>
            <w:sdt>
              <w:sdtPr>
                <w:id w:val="1471170769"/>
                <w:citation/>
              </w:sdtPr>
              <w:sdtContent>
                <w:r>
                  <w:rPr>
                    <w:sz w:val="16"/>
                    <w:szCs w:val="16"/>
                  </w:rPr>
                  <w:fldChar w:fldCharType="begin"/>
                </w:r>
                <w:r>
                  <w:rPr>
                    <w:sz w:val="16"/>
                    <w:szCs w:val="16"/>
                  </w:rPr>
                  <w:instrText xml:space="preserve"> CITATION Kut20 \l en-US </w:instrText>
                </w:r>
                <w:r>
                  <w:rPr>
                    <w:sz w:val="16"/>
                    <w:szCs w:val="16"/>
                  </w:rPr>
                  <w:fldChar w:fldCharType="separate"/>
                </w:r>
                <w:r>
                  <w:rPr>
                    <w:noProof/>
                    <w:sz w:val="16"/>
                    <w:szCs w:val="16"/>
                  </w:rPr>
                  <w:t>[6]</w:t>
                </w:r>
                <w:r>
                  <w:rPr>
                    <w:sz w:val="16"/>
                    <w:szCs w:val="16"/>
                  </w:rPr>
                  <w:fldChar w:fldCharType="end"/>
                </w:r>
              </w:sdtContent>
            </w:sdt>
          </w:p>
        </w:tc>
        <w:tc>
          <w:tcPr>
            <w:tcW w:w="168.20pt" w:type="dxa"/>
          </w:tcPr>
          <w:p w14:paraId="4692F634"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Nonlinear candidate libraries and sparse recovery</w:t>
            </w:r>
          </w:p>
        </w:tc>
        <w:tc>
          <w:tcPr>
            <w:tcW w:w="168.20pt" w:type="dxa"/>
          </w:tcPr>
          <w:p w14:paraId="0EFC09ED"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Small product/formula library with entry metadata</w:t>
            </w:r>
          </w:p>
        </w:tc>
      </w:tr>
      <w:tr w:rsidR="003A55AF" w14:paraId="39655109" w14:textId="77777777" w:rsidTr="003A55AF">
        <w:tc>
          <w:tcPr>
            <w:cnfStyle w:firstRow="0" w:lastRow="0" w:firstColumn="1" w:lastColumn="0" w:oddVBand="0" w:evenVBand="0" w:oddHBand="0" w:evenHBand="0" w:firstRowFirstColumn="0" w:firstRowLastColumn="0" w:lastRowFirstColumn="0" w:lastRowLastColumn="0"/>
            <w:tcW w:w="168.20pt" w:type="dxa"/>
          </w:tcPr>
          <w:p w14:paraId="32A37634" w14:textId="736DCCE6" w:rsidR="003A55AF" w:rsidRDefault="00000000">
            <w:r>
              <w:rPr>
                <w:b w:val="0"/>
                <w:sz w:val="16"/>
                <w:szCs w:val="16"/>
              </w:rPr>
              <w:t xml:space="preserve">Event models </w:t>
            </w:r>
            <w:sdt>
              <w:sdtPr>
                <w:id w:val="-781339221"/>
                <w:citation/>
              </w:sdtPr>
              <w:sdtContent>
                <w:r>
                  <w:rPr>
                    <w:sz w:val="16"/>
                    <w:szCs w:val="16"/>
                  </w:rPr>
                  <w:fldChar w:fldCharType="begin"/>
                </w:r>
                <w:r>
                  <w:rPr>
                    <w:sz w:val="16"/>
                    <w:szCs w:val="16"/>
                  </w:rPr>
                  <w:instrText xml:space="preserve"> CITATION Haw71 \l en-US </w:instrText>
                </w:r>
                <w:r>
                  <w:rPr>
                    <w:sz w:val="16"/>
                    <w:szCs w:val="16"/>
                  </w:rPr>
                  <w:fldChar w:fldCharType="separate"/>
                </w:r>
                <w:r>
                  <w:rPr>
                    <w:noProof/>
                    <w:sz w:val="16"/>
                    <w:szCs w:val="16"/>
                  </w:rPr>
                  <w:t>[7]</w:t>
                </w:r>
                <w:r>
                  <w:rPr>
                    <w:sz w:val="16"/>
                    <w:szCs w:val="16"/>
                  </w:rPr>
                  <w:fldChar w:fldCharType="end"/>
                </w:r>
              </w:sdtContent>
            </w:sdt>
          </w:p>
        </w:tc>
        <w:tc>
          <w:tcPr>
            <w:tcW w:w="168.20pt" w:type="dxa"/>
          </w:tcPr>
          <w:p w14:paraId="43FA74CB"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Time-localized and decaying influence</w:t>
            </w:r>
          </w:p>
        </w:tc>
        <w:tc>
          <w:tcPr>
            <w:tcW w:w="168.20pt" w:type="dxa"/>
          </w:tcPr>
          <w:p w14:paraId="7A5F69A8"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Deterministic target-response envelope</w:t>
            </w:r>
          </w:p>
        </w:tc>
      </w:tr>
      <w:tr w:rsidR="003A55AF" w14:paraId="5EE16FFB"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68.20pt" w:type="dxa"/>
          </w:tcPr>
          <w:p w14:paraId="7EE29B9C" w14:textId="19CE8819" w:rsidR="003A55AF" w:rsidRDefault="00000000">
            <w:r>
              <w:rPr>
                <w:b w:val="0"/>
                <w:sz w:val="16"/>
                <w:szCs w:val="16"/>
              </w:rPr>
              <w:t xml:space="preserve">Deep/global forecasting </w:t>
            </w:r>
            <w:sdt>
              <w:sdtPr>
                <w:id w:val="-810102836"/>
                <w:citation/>
              </w:sdtPr>
              <w:sdtContent>
                <w:r>
                  <w:rPr>
                    <w:sz w:val="16"/>
                    <w:szCs w:val="16"/>
                  </w:rPr>
                  <w:fldChar w:fldCharType="begin"/>
                </w:r>
                <w:r>
                  <w:rPr>
                    <w:sz w:val="16"/>
                    <w:szCs w:val="16"/>
                  </w:rPr>
                  <w:instrText xml:space="preserve"> CITATION Jan20 \l en-US </w:instrText>
                </w:r>
                <w:r>
                  <w:rPr>
                    <w:sz w:val="16"/>
                    <w:szCs w:val="16"/>
                  </w:rPr>
                  <w:fldChar w:fldCharType="separate"/>
                </w:r>
                <w:r>
                  <w:rPr>
                    <w:noProof/>
                    <w:sz w:val="16"/>
                    <w:szCs w:val="16"/>
                  </w:rPr>
                  <w:t>[8]</w:t>
                </w:r>
                <w:r>
                  <w:rPr>
                    <w:sz w:val="16"/>
                    <w:szCs w:val="16"/>
                  </w:rPr>
                  <w:fldChar w:fldCharType="end"/>
                </w:r>
              </w:sdtContent>
            </w:sdt>
            <w:r>
              <w:rPr>
                <w:b w:val="0"/>
                <w:sz w:val="16"/>
                <w:szCs w:val="16"/>
              </w:rPr>
              <w:t xml:space="preserve">, </w:t>
            </w:r>
            <w:sdt>
              <w:sdtPr>
                <w:id w:val="493536151"/>
                <w:citation/>
              </w:sdtPr>
              <w:sdtContent>
                <w:r>
                  <w:rPr>
                    <w:sz w:val="16"/>
                    <w:szCs w:val="16"/>
                  </w:rPr>
                  <w:fldChar w:fldCharType="begin"/>
                </w:r>
                <w:r>
                  <w:rPr>
                    <w:sz w:val="16"/>
                    <w:szCs w:val="16"/>
                  </w:rPr>
                  <w:instrText xml:space="preserve"> CITATION Ass20 \l en-US </w:instrText>
                </w:r>
                <w:r>
                  <w:rPr>
                    <w:sz w:val="16"/>
                    <w:szCs w:val="16"/>
                  </w:rPr>
                  <w:fldChar w:fldCharType="separate"/>
                </w:r>
                <w:r>
                  <w:rPr>
                    <w:noProof/>
                    <w:sz w:val="16"/>
                    <w:szCs w:val="16"/>
                  </w:rPr>
                  <w:t>[9]</w:t>
                </w:r>
                <w:r>
                  <w:rPr>
                    <w:sz w:val="16"/>
                    <w:szCs w:val="16"/>
                  </w:rPr>
                  <w:fldChar w:fldCharType="end"/>
                </w:r>
              </w:sdtContent>
            </w:sdt>
          </w:p>
        </w:tc>
        <w:tc>
          <w:tcPr>
            <w:tcW w:w="168.20pt" w:type="dxa"/>
          </w:tcPr>
          <w:p w14:paraId="5678AB9A"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Accuracy and uncertainty at panel scale</w:t>
            </w:r>
          </w:p>
        </w:tc>
        <w:tc>
          <w:tcPr>
            <w:tcW w:w="168.20pt" w:type="dxa"/>
          </w:tcPr>
          <w:p w14:paraId="6E5C1D6A"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Different operating regime</w:t>
            </w:r>
          </w:p>
        </w:tc>
      </w:tr>
      <w:tr w:rsidR="003A55AF" w14:paraId="24436C52" w14:textId="77777777" w:rsidTr="003A55AF">
        <w:tc>
          <w:tcPr>
            <w:cnfStyle w:firstRow="0" w:lastRow="0" w:firstColumn="1" w:lastColumn="0" w:oddVBand="0" w:evenVBand="0" w:oddHBand="0" w:evenHBand="0" w:firstRowFirstColumn="0" w:firstRowLastColumn="0" w:lastRowFirstColumn="0" w:lastRowLastColumn="0"/>
            <w:tcW w:w="168.20pt" w:type="dxa"/>
          </w:tcPr>
          <w:p w14:paraId="0991CF6C" w14:textId="2FD29A7A" w:rsidR="003A55AF" w:rsidRDefault="00000000">
            <w:r>
              <w:rPr>
                <w:b w:val="0"/>
                <w:sz w:val="16"/>
                <w:szCs w:val="16"/>
              </w:rPr>
              <w:t xml:space="preserve">Robust/conformal methods </w:t>
            </w:r>
            <w:sdt>
              <w:sdtPr>
                <w:id w:val="-648054021"/>
                <w:citation/>
              </w:sdtPr>
              <w:sdtContent>
                <w:r>
                  <w:rPr>
                    <w:sz w:val="16"/>
                    <w:szCs w:val="16"/>
                  </w:rPr>
                  <w:fldChar w:fldCharType="begin"/>
                </w:r>
                <w:r>
                  <w:rPr>
                    <w:sz w:val="16"/>
                    <w:szCs w:val="16"/>
                  </w:rPr>
                  <w:instrText xml:space="preserve"> CITATION Lic13 \l en-US </w:instrText>
                </w:r>
                <w:r>
                  <w:rPr>
                    <w:sz w:val="16"/>
                    <w:szCs w:val="16"/>
                  </w:rPr>
                  <w:fldChar w:fldCharType="separate"/>
                </w:r>
                <w:r>
                  <w:rPr>
                    <w:noProof/>
                    <w:sz w:val="16"/>
                    <w:szCs w:val="16"/>
                  </w:rPr>
                  <w:t>[10]</w:t>
                </w:r>
                <w:r>
                  <w:rPr>
                    <w:sz w:val="16"/>
                    <w:szCs w:val="16"/>
                  </w:rPr>
                  <w:fldChar w:fldCharType="end"/>
                </w:r>
              </w:sdtContent>
            </w:sdt>
            <w:r>
              <w:rPr>
                <w:b w:val="0"/>
                <w:sz w:val="16"/>
                <w:szCs w:val="16"/>
              </w:rPr>
              <w:t>-</w:t>
            </w:r>
            <w:sdt>
              <w:sdtPr>
                <w:id w:val="1238670501"/>
                <w:citation/>
              </w:sdtPr>
              <w:sdtContent>
                <w:r>
                  <w:rPr>
                    <w:sz w:val="16"/>
                    <w:szCs w:val="16"/>
                  </w:rPr>
                  <w:fldChar w:fldCharType="begin"/>
                </w:r>
                <w:r>
                  <w:rPr>
                    <w:sz w:val="16"/>
                    <w:szCs w:val="16"/>
                  </w:rPr>
                  <w:instrText xml:space="preserve"> CITATION Sch21 \l en-US </w:instrText>
                </w:r>
                <w:r>
                  <w:rPr>
                    <w:sz w:val="16"/>
                    <w:szCs w:val="16"/>
                  </w:rPr>
                  <w:fldChar w:fldCharType="separate"/>
                </w:r>
                <w:r>
                  <w:rPr>
                    <w:noProof/>
                    <w:sz w:val="16"/>
                    <w:szCs w:val="16"/>
                  </w:rPr>
                  <w:t>[12]</w:t>
                </w:r>
                <w:r>
                  <w:rPr>
                    <w:sz w:val="16"/>
                    <w:szCs w:val="16"/>
                  </w:rPr>
                  <w:fldChar w:fldCharType="end"/>
                </w:r>
              </w:sdtContent>
            </w:sdt>
          </w:p>
        </w:tc>
        <w:tc>
          <w:tcPr>
            <w:tcW w:w="168.20pt" w:type="dxa"/>
          </w:tcPr>
          <w:p w14:paraId="39CF108A"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Robust scaling and empirical coverage</w:t>
            </w:r>
          </w:p>
        </w:tc>
        <w:tc>
          <w:tcPr>
            <w:tcW w:w="168.20pt" w:type="dxa"/>
          </w:tcPr>
          <w:p w14:paraId="57BA61B6"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Training-only scaling and chronological calibration</w:t>
            </w:r>
          </w:p>
        </w:tc>
      </w:tr>
    </w:tbl>
    <w:p w14:paraId="499F3A2A" w14:textId="77777777" w:rsidR="003A55AF" w:rsidRDefault="00000000">
      <w:pPr>
        <w:pStyle w:val="BodyText"/>
      </w:pPr>
      <w:r>
        <w:t>QNTUM is therefore an integration and representation contribution. Its empirical question is whether exact partial knowledge improves structural recovery without sacrificing forecast performance.</w:t>
      </w:r>
    </w:p>
    <w:p w14:paraId="7C8735D2" w14:textId="77777777" w:rsidR="003A55AF" w:rsidRDefault="00000000">
      <w:pPr>
        <w:pStyle w:val="Heading1"/>
      </w:pPr>
      <w:r>
        <w:t>Methodology</w:t>
      </w:r>
    </w:p>
    <w:p w14:paraId="6A28ADF3" w14:textId="77777777" w:rsidR="003A55AF" w:rsidRDefault="00000000">
      <w:pPr>
        <w:pStyle w:val="Heading2"/>
      </w:pPr>
      <w:r>
        <w:t>Overview</w:t>
      </w:r>
    </w:p>
    <w:p w14:paraId="35A63C70" w14:textId="77777777" w:rsidR="003A55AF" w:rsidRDefault="00000000">
      <w:r>
        <w:rPr>
          <w:noProof/>
        </w:rPr>
        <w:drawing>
          <wp:inline distT="0" distB="0" distL="0" distR="0" wp14:anchorId="55E7480C" wp14:editId="5145A61A">
            <wp:extent cx="1641280" cy="4294682"/>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1.png"/>
                    <pic:cNvPicPr/>
                  </pic:nvPicPr>
                  <pic:blipFill>
                    <a:blip r:embed="rId11"/>
                    <a:stretch>
                      <a:fillRect/>
                    </a:stretch>
                  </pic:blipFill>
                  <pic:spPr>
                    <a:xfrm>
                      <a:off x="0" y="0"/>
                      <a:ext cx="1657471" cy="4337049"/>
                    </a:xfrm>
                    <a:prstGeom prst="rect">
                      <a:avLst/>
                    </a:prstGeom>
                  </pic:spPr>
                </pic:pic>
              </a:graphicData>
            </a:graphic>
          </wp:inline>
        </w:drawing>
      </w:r>
    </w:p>
    <w:p w14:paraId="45696383" w14:textId="77777777" w:rsidR="003A55AF" w:rsidRDefault="00000000">
      <w:pPr>
        <w:pStyle w:val="BodyText"/>
      </w:pPr>
      <w:r>
        <w:t>Each stage is presented first as a formal definition and then in plain language.</w:t>
      </w:r>
    </w:p>
    <w:p w14:paraId="771B75B9" w14:textId="77777777" w:rsidR="003A55AF" w:rsidRDefault="00000000">
      <w:pPr>
        <w:pStyle w:val="Heading2"/>
      </w:pPr>
      <w:r>
        <w:t>Events and the phase function</w:t>
      </w:r>
    </w:p>
    <w:p w14:paraId="738031F1" w14:textId="77777777" w:rsidR="003A55AF" w:rsidRDefault="00000000">
      <w:pPr>
        <w:pStyle w:val="BodyText"/>
      </w:pPr>
      <w:r>
        <w:t xml:space="preserve">Each target event </w:t>
      </w:r>
      <m:oMath>
        <m:sSub>
          <m:sSubPr>
            <m:ctrlPr>
              <w:rPr>
                <w:rFonts w:ascii="Cambria Math" w:hAnsi="Cambria Math"/>
              </w:rPr>
            </m:ctrlPr>
          </m:sSubPr>
          <m:e>
            <m:r>
              <w:rPr>
                <w:rFonts w:ascii="Cambria Math" w:hAnsi="Cambria Math"/>
                <w:sz w:val="16"/>
                <w:szCs w:val="16"/>
              </w:rPr>
              <m:t>E</m:t>
            </m:r>
          </m:e>
          <m:sub>
            <m:r>
              <w:rPr>
                <w:rFonts w:ascii="Cambria Math" w:hAnsi="Cambria Math"/>
                <w:sz w:val="16"/>
                <w:szCs w:val="16"/>
              </w:rPr>
              <m:t>i</m:t>
            </m:r>
          </m:sub>
        </m:sSub>
      </m:oMath>
      <w:r>
        <w:t xml:space="preserve"> is defined by a start time </w:t>
      </w:r>
      <m:oMath>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0</m:t>
            </m:r>
          </m:sub>
        </m:sSub>
      </m:oMath>
      <w:r>
        <w:t xml:space="preserve">, formation duration </w:t>
      </w:r>
      <m:oMath>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f</m:t>
            </m:r>
          </m:sub>
        </m:sSub>
      </m:oMath>
      <w:r>
        <w:t xml:space="preserve">, stable duration and decay constant </w:t>
      </w:r>
      <m:oMath>
        <m:r>
          <w:rPr>
            <w:rFonts w:ascii="Cambria Math" w:hAnsi="Cambria Math"/>
            <w:sz w:val="16"/>
            <w:szCs w:val="16"/>
          </w:rPr>
          <m:t>τ</m:t>
        </m:r>
      </m:oMath>
      <w:r>
        <w:t xml:space="preserve">, initial magnitude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0</m:t>
            </m:r>
          </m:sub>
        </m:sSub>
        <m:r>
          <w:rPr>
            <w:rFonts w:ascii="Cambria Math" w:hAnsi="Cambria Math"/>
            <w:sz w:val="16"/>
            <w:szCs w:val="16"/>
          </w:rPr>
          <m:t>)</m:t>
        </m:r>
      </m:oMath>
      <w:r>
        <w:t xml:space="preserve">, and drift </w:t>
      </w:r>
      <m:oMath>
        <m:sSub>
          <m:sSubPr>
            <m:ctrlPr>
              <w:rPr>
                <w:rFonts w:ascii="Cambria Math" w:hAnsi="Cambria Math"/>
              </w:rPr>
            </m:ctrlPr>
          </m:sSubPr>
          <m:e>
            <m:r>
              <w:rPr>
                <w:rFonts w:ascii="Cambria Math" w:hAnsi="Cambria Math"/>
                <w:sz w:val="16"/>
                <w:szCs w:val="16"/>
              </w:rPr>
              <m:t>B</m:t>
            </m:r>
          </m:e>
          <m:sub>
            <m:r>
              <w:rPr>
                <w:rFonts w:ascii="Cambria Math" w:hAnsi="Cambria Math"/>
                <w:sz w:val="16"/>
                <w:szCs w:val="16"/>
              </w:rPr>
              <m:t>i</m:t>
            </m:r>
          </m:sub>
        </m:sSub>
      </m:oMath>
      <w:r>
        <w:t>.</w:t>
      </w:r>
    </w:p>
    <w:p w14:paraId="1808CE6F" w14:textId="77777777" w:rsidR="003A55AF" w:rsidRDefault="00000000">
      <w:pPr>
        <w:pStyle w:val="Caption"/>
      </w:pPr>
      <w:r>
        <w:rPr>
          <w:i w:val="0"/>
        </w:rPr>
        <w:t>Table 2. Event parameters.</w:t>
      </w:r>
    </w:p>
    <w:tbl>
      <w:tblPr>
        <w:tblStyle w:val="PlainTable2"/>
        <w:tblW w:w="0pt" w:type="auto"/>
        <w:tblLook w:firstRow="1" w:lastRow="0" w:firstColumn="1" w:lastColumn="0" w:noHBand="0" w:noVBand="1"/>
      </w:tblPr>
      <w:tblGrid>
        <w:gridCol w:w="2384"/>
        <w:gridCol w:w="2482"/>
      </w:tblGrid>
      <w:tr w:rsidR="003A55AF" w14:paraId="5E6B969D" w14:textId="77777777" w:rsidTr="003A55AF">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52.30pt" w:type="dxa"/>
          </w:tcPr>
          <w:p w14:paraId="24E430BF" w14:textId="77777777" w:rsidR="003A55AF" w:rsidRDefault="00000000">
            <w:r>
              <w:rPr>
                <w:sz w:val="16"/>
                <w:szCs w:val="16"/>
              </w:rPr>
              <w:t>Symbol</w:t>
            </w:r>
          </w:p>
        </w:tc>
        <w:tc>
          <w:tcPr>
            <w:tcW w:w="252.30pt" w:type="dxa"/>
          </w:tcPr>
          <w:p w14:paraId="612EE09B"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Meaning</w:t>
            </w:r>
          </w:p>
        </w:tc>
      </w:tr>
      <w:tr w:rsidR="003A55AF" w14:paraId="11764D9E"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52.30pt" w:type="dxa"/>
          </w:tcPr>
          <w:p w14:paraId="607DEBFC" w14:textId="77777777" w:rsidR="003A55AF" w:rsidRDefault="00000000">
            <m:oMathPara>
              <m:oMath>
                <m:sSub>
                  <m:sSubPr>
                    <m:ctrlPr>
                      <w:rPr>
                        <w:rFonts w:ascii="Cambria Math" w:hAnsi="Cambria Math"/>
                      </w:rPr>
                    </m:ctrlPr>
                  </m:sSubPr>
                  <m:e>
                    <m:r>
                      <m:rPr>
                        <m:sty m:val="bi"/>
                      </m:rPr>
                      <w:rPr>
                        <w:rFonts w:ascii="Cambria Math" w:hAnsi="Cambria Math"/>
                        <w:sz w:val="16"/>
                        <w:szCs w:val="16"/>
                      </w:rPr>
                      <m:t>t</m:t>
                    </m:r>
                  </m:e>
                  <m:sub>
                    <m:r>
                      <m:rPr>
                        <m:sty m:val="bi"/>
                      </m:rPr>
                      <w:rPr>
                        <w:rFonts w:ascii="Cambria Math" w:hAnsi="Cambria Math"/>
                        <w:sz w:val="16"/>
                        <w:szCs w:val="16"/>
                      </w:rPr>
                      <m:t>0</m:t>
                    </m:r>
                  </m:sub>
                </m:sSub>
              </m:oMath>
            </m:oMathPara>
          </w:p>
        </w:tc>
        <w:tc>
          <w:tcPr>
            <w:tcW w:w="252.30pt" w:type="dxa"/>
          </w:tcPr>
          <w:p w14:paraId="59D3126A"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Event start time</w:t>
            </w:r>
          </w:p>
        </w:tc>
      </w:tr>
      <w:tr w:rsidR="003A55AF" w14:paraId="7BB78701" w14:textId="77777777" w:rsidTr="003A55AF">
        <w:tc>
          <w:tcPr>
            <w:cnfStyle w:firstRow="0" w:lastRow="0" w:firstColumn="1" w:lastColumn="0" w:oddVBand="0" w:evenVBand="0" w:oddHBand="0" w:evenHBand="0" w:firstRowFirstColumn="0" w:firstRowLastColumn="0" w:lastRowFirstColumn="0" w:lastRowLastColumn="0"/>
            <w:tcW w:w="252.30pt" w:type="dxa"/>
          </w:tcPr>
          <w:p w14:paraId="028C6977" w14:textId="77777777" w:rsidR="003A55AF" w:rsidRDefault="00000000">
            <m:oMathPara>
              <m:oMath>
                <m:sSub>
                  <m:sSubPr>
                    <m:ctrlPr>
                      <w:rPr>
                        <w:rFonts w:ascii="Cambria Math" w:hAnsi="Cambria Math"/>
                      </w:rPr>
                    </m:ctrlPr>
                  </m:sSubPr>
                  <m:e>
                    <m:r>
                      <m:rPr>
                        <m:sty m:val="bi"/>
                      </m:rPr>
                      <w:rPr>
                        <w:rFonts w:ascii="Cambria Math" w:hAnsi="Cambria Math"/>
                        <w:sz w:val="16"/>
                        <w:szCs w:val="16"/>
                      </w:rPr>
                      <m:t>t</m:t>
                    </m:r>
                  </m:e>
                  <m:sub>
                    <m:r>
                      <m:rPr>
                        <m:sty m:val="bi"/>
                      </m:rPr>
                      <w:rPr>
                        <w:rFonts w:ascii="Cambria Math" w:hAnsi="Cambria Math"/>
                        <w:sz w:val="16"/>
                        <w:szCs w:val="16"/>
                      </w:rPr>
                      <m:t>f</m:t>
                    </m:r>
                  </m:sub>
                </m:sSub>
              </m:oMath>
            </m:oMathPara>
          </w:p>
        </w:tc>
        <w:tc>
          <w:tcPr>
            <w:tcW w:w="252.30pt" w:type="dxa"/>
          </w:tcPr>
          <w:p w14:paraId="5FB69D25"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Formation duration</w:t>
            </w:r>
          </w:p>
        </w:tc>
      </w:tr>
      <w:tr w:rsidR="003A55AF" w14:paraId="5315E239"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52.30pt" w:type="dxa"/>
          </w:tcPr>
          <w:p w14:paraId="4AC33E27" w14:textId="77777777" w:rsidR="003A55AF" w:rsidRDefault="00000000">
            <m:oMathPara>
              <m:oMath>
                <m:r>
                  <m:rPr>
                    <m:sty m:val="bi"/>
                  </m:rPr>
                  <w:rPr>
                    <w:rFonts w:ascii="Cambria Math" w:hAnsi="Cambria Math"/>
                    <w:sz w:val="16"/>
                    <w:szCs w:val="16"/>
                  </w:rPr>
                  <m:t>τ</m:t>
                </m:r>
              </m:oMath>
            </m:oMathPara>
          </w:p>
        </w:tc>
        <w:tc>
          <w:tcPr>
            <w:tcW w:w="252.30pt" w:type="dxa"/>
          </w:tcPr>
          <w:p w14:paraId="3F3443B2"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Stable duration and decay constant</w:t>
            </w:r>
          </w:p>
        </w:tc>
      </w:tr>
      <w:tr w:rsidR="003A55AF" w14:paraId="77C213E4" w14:textId="77777777" w:rsidTr="003A55AF">
        <w:tc>
          <w:tcPr>
            <w:cnfStyle w:firstRow="0" w:lastRow="0" w:firstColumn="1" w:lastColumn="0" w:oddVBand="0" w:evenVBand="0" w:oddHBand="0" w:evenHBand="0" w:firstRowFirstColumn="0" w:firstRowLastColumn="0" w:lastRowFirstColumn="0" w:lastRowLastColumn="0"/>
            <w:tcW w:w="252.30pt" w:type="dxa"/>
          </w:tcPr>
          <w:p w14:paraId="09948764" w14:textId="77777777" w:rsidR="003A55AF" w:rsidRDefault="00000000">
            <m:oMathPara>
              <m:oMath>
                <m:sSub>
                  <m:sSubPr>
                    <m:ctrlPr>
                      <w:rPr>
                        <w:rFonts w:ascii="Cambria Math" w:hAnsi="Cambria Math"/>
                      </w:rPr>
                    </m:ctrlPr>
                  </m:sSubPr>
                  <m:e>
                    <m:r>
                      <m:rPr>
                        <m:sty m:val="bi"/>
                      </m:rPr>
                      <w:rPr>
                        <w:rFonts w:ascii="Cambria Math" w:hAnsi="Cambria Math"/>
                        <w:sz w:val="16"/>
                        <w:szCs w:val="16"/>
                      </w:rPr>
                      <m:t>B</m:t>
                    </m:r>
                  </m:e>
                  <m:sub>
                    <m:r>
                      <m:rPr>
                        <m:sty m:val="bi"/>
                      </m:rPr>
                      <w:rPr>
                        <w:rFonts w:ascii="Cambria Math" w:hAnsi="Cambria Math"/>
                        <w:sz w:val="16"/>
                        <w:szCs w:val="16"/>
                      </w:rPr>
                      <m:t>i</m:t>
                    </m:r>
                  </m:sub>
                </m:sSub>
              </m:oMath>
            </m:oMathPara>
          </w:p>
        </w:tc>
        <w:tc>
          <w:tcPr>
            <w:tcW w:w="252.30pt" w:type="dxa"/>
          </w:tcPr>
          <w:p w14:paraId="221AC346"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Constant drift</w:t>
            </w:r>
          </w:p>
        </w:tc>
      </w:tr>
      <w:tr w:rsidR="003A55AF" w14:paraId="370EC3A6"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252.30pt" w:type="dxa"/>
          </w:tcPr>
          <w:p w14:paraId="6B820C42" w14:textId="77777777" w:rsidR="003A55AF" w:rsidRDefault="00000000">
            <m:oMathPara>
              <m:oMath>
                <m:sSub>
                  <m:sSubPr>
                    <m:ctrlPr>
                      <w:rPr>
                        <w:rFonts w:ascii="Cambria Math" w:hAnsi="Cambria Math"/>
                      </w:rPr>
                    </m:ctrlPr>
                  </m:sSubPr>
                  <m:e>
                    <m:r>
                      <m:rPr>
                        <m:sty m:val="bi"/>
                      </m:rPr>
                      <w:rPr>
                        <w:rFonts w:ascii="Cambria Math" w:hAnsi="Cambria Math"/>
                        <w:sz w:val="16"/>
                        <w:szCs w:val="16"/>
                      </w:rPr>
                      <m:t>M</m:t>
                    </m:r>
                  </m:e>
                  <m:sub>
                    <m:r>
                      <m:rPr>
                        <m:sty m:val="bi"/>
                      </m:rPr>
                      <w:rPr>
                        <w:rFonts w:ascii="Cambria Math" w:hAnsi="Cambria Math"/>
                        <w:sz w:val="16"/>
                        <w:szCs w:val="16"/>
                      </w:rPr>
                      <m:t>i</m:t>
                    </m:r>
                  </m:sub>
                </m:sSub>
                <m:r>
                  <m:rPr>
                    <m:sty m:val="bi"/>
                  </m:rPr>
                  <w:rPr>
                    <w:rFonts w:ascii="Cambria Math" w:hAnsi="Cambria Math"/>
                    <w:sz w:val="16"/>
                    <w:szCs w:val="16"/>
                  </w:rPr>
                  <m:t>(</m:t>
                </m:r>
                <m:sSub>
                  <m:sSubPr>
                    <m:ctrlPr>
                      <w:rPr>
                        <w:rFonts w:ascii="Cambria Math" w:hAnsi="Cambria Math"/>
                      </w:rPr>
                    </m:ctrlPr>
                  </m:sSubPr>
                  <m:e>
                    <m:r>
                      <m:rPr>
                        <m:sty m:val="bi"/>
                      </m:rPr>
                      <w:rPr>
                        <w:rFonts w:ascii="Cambria Math" w:hAnsi="Cambria Math"/>
                        <w:sz w:val="16"/>
                        <w:szCs w:val="16"/>
                      </w:rPr>
                      <m:t>t</m:t>
                    </m:r>
                  </m:e>
                  <m:sub>
                    <m:r>
                      <m:rPr>
                        <m:sty m:val="bi"/>
                      </m:rPr>
                      <w:rPr>
                        <w:rFonts w:ascii="Cambria Math" w:hAnsi="Cambria Math"/>
                        <w:sz w:val="16"/>
                        <w:szCs w:val="16"/>
                      </w:rPr>
                      <m:t>0</m:t>
                    </m:r>
                  </m:sub>
                </m:sSub>
                <m:r>
                  <m:rPr>
                    <m:sty m:val="bi"/>
                  </m:rPr>
                  <w:rPr>
                    <w:rFonts w:ascii="Cambria Math" w:hAnsi="Cambria Math"/>
                    <w:sz w:val="16"/>
                    <w:szCs w:val="16"/>
                  </w:rPr>
                  <m:t>)</m:t>
                </m:r>
              </m:oMath>
            </m:oMathPara>
          </w:p>
        </w:tc>
        <w:tc>
          <w:tcPr>
            <w:tcW w:w="252.30pt" w:type="dxa"/>
          </w:tcPr>
          <w:p w14:paraId="771D3888"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Initial magnitude</w:t>
            </w:r>
          </w:p>
        </w:tc>
      </w:tr>
    </w:tbl>
    <w:p w14:paraId="4C749617" w14:textId="77777777" w:rsidR="003A55AF" w:rsidRDefault="00000000">
      <w:pPr>
        <w:pStyle w:val="BodyText"/>
      </w:pPr>
      <w:r>
        <w:t>The phase function is</w:t>
      </w:r>
    </w:p>
    <w:p w14:paraId="2FAEC194" w14:textId="77777777" w:rsidR="003A55AF" w:rsidRDefault="00000000">
      <w:pPr>
        <w:pStyle w:val="equation"/>
      </w:pPr>
      <m:oMathPara>
        <m:oMathParaPr>
          <m:jc m:val="center"/>
        </m:oMathParaPr>
        <m:oMath>
          <m:sSub>
            <m:sSubPr>
              <m:ctrlPr>
                <w:rPr>
                  <w:rFonts w:ascii="Cambria Math" w:hAnsi="Cambria Math"/>
                </w:rPr>
              </m:ctrlPr>
            </m:sSubPr>
            <m:e>
              <m:r>
                <w:rPr>
                  <w:rFonts w:ascii="Cambria Math" w:hAnsi="Cambria Math"/>
                  <w:sz w:val="16"/>
                  <w:szCs w:val="16"/>
                </w:rPr>
                <m:t>Φ</m:t>
              </m:r>
            </m:e>
            <m:sub>
              <m:r>
                <w:rPr>
                  <w:rFonts w:ascii="Cambria Math" w:hAnsi="Cambria Math"/>
                  <w:sz w:val="16"/>
                  <w:szCs w:val="16"/>
                </w:rPr>
                <m:t>i</m:t>
              </m:r>
            </m:sub>
          </m:sSub>
          <m:r>
            <w:rPr>
              <w:rFonts w:ascii="Cambria Math" w:hAnsi="Cambria Math"/>
              <w:sz w:val="16"/>
              <w:szCs w:val="16"/>
            </w:rPr>
            <m:t>(t)=</m:t>
          </m:r>
          <m:d>
            <m:dPr>
              <m:begChr m:val="{"/>
              <m:endChr m:val=""/>
              <m:ctrlPr>
                <w:rPr>
                  <w:rFonts w:ascii="Cambria Math" w:hAnsi="Cambria Math"/>
                </w:rPr>
              </m:ctrlPr>
            </m:dPr>
            <m:e>
              <m:eqArr>
                <m:eqArrPr>
                  <m:ctrlPr>
                    <w:rPr>
                      <w:rFonts w:ascii="Cambria Math" w:hAnsi="Cambria Math"/>
                    </w:rPr>
                  </m:ctrlPr>
                </m:eqArrPr>
                <m:e>
                  <m:r>
                    <w:rPr>
                      <w:rFonts w:ascii="Cambria Math" w:hAnsi="Cambria Math"/>
                      <w:sz w:val="16"/>
                      <w:szCs w:val="16"/>
                    </w:rPr>
                    <m:t>0,    t&lt;</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0</m:t>
                      </m:r>
                    </m:sub>
                  </m:sSub>
                  <m:r>
                    <w:rPr>
                      <w:rFonts w:ascii="Cambria Math" w:hAnsi="Cambria Math"/>
                      <w:sz w:val="16"/>
                      <w:szCs w:val="16"/>
                    </w:rPr>
                    <m:t>,</m:t>
                  </m:r>
                </m:e>
                <m:e>
                  <m:r>
                    <w:rPr>
                      <w:rFonts w:ascii="Cambria Math" w:hAnsi="Cambria Math"/>
                      <w:sz w:val="16"/>
                      <w:szCs w:val="16"/>
                    </w:rPr>
                    <m:t>(t-</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0</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f</m:t>
                      </m:r>
                    </m:sub>
                  </m:sSub>
                  <m:r>
                    <w:rPr>
                      <w:rFonts w:ascii="Cambria Math" w:hAnsi="Cambria Math"/>
                      <w:sz w:val="16"/>
                      <w:szCs w:val="16"/>
                    </w:rPr>
                    <m:t xml:space="preserve">,    </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0</m:t>
                      </m:r>
                    </m:sub>
                  </m:sSub>
                  <m:r>
                    <w:rPr>
                      <w:rFonts w:ascii="Cambria Math" w:hAnsi="Cambria Math"/>
                      <w:sz w:val="16"/>
                      <w:szCs w:val="16"/>
                    </w:rPr>
                    <m:t>≤t&lt;</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0</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f</m:t>
                      </m:r>
                    </m:sub>
                  </m:sSub>
                  <m:r>
                    <w:rPr>
                      <w:rFonts w:ascii="Cambria Math" w:hAnsi="Cambria Math"/>
                      <w:sz w:val="16"/>
                      <w:szCs w:val="16"/>
                    </w:rPr>
                    <m:t xml:space="preserve">, </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f</m:t>
                      </m:r>
                    </m:sub>
                  </m:sSub>
                  <m:r>
                    <w:rPr>
                      <w:rFonts w:ascii="Cambria Math" w:hAnsi="Cambria Math"/>
                      <w:sz w:val="16"/>
                      <w:szCs w:val="16"/>
                    </w:rPr>
                    <m:t>&gt;0,</m:t>
                  </m:r>
                </m:e>
                <m:e>
                  <m:r>
                    <w:rPr>
                      <w:rFonts w:ascii="Cambria Math" w:hAnsi="Cambria Math"/>
                      <w:sz w:val="16"/>
                      <w:szCs w:val="16"/>
                    </w:rPr>
                    <m:t xml:space="preserve">1,    </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0</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f</m:t>
                      </m:r>
                    </m:sub>
                  </m:sSub>
                  <m:r>
                    <w:rPr>
                      <w:rFonts w:ascii="Cambria Math" w:hAnsi="Cambria Math"/>
                      <w:sz w:val="16"/>
                      <w:szCs w:val="16"/>
                    </w:rPr>
                    <m:t>≤t&lt;</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0</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f</m:t>
                      </m:r>
                    </m:sub>
                  </m:sSub>
                  <m:r>
                    <w:rPr>
                      <w:rFonts w:ascii="Cambria Math" w:hAnsi="Cambria Math"/>
                      <w:sz w:val="16"/>
                      <w:szCs w:val="16"/>
                    </w:rPr>
                    <m:t>+τ,</m:t>
                  </m:r>
                </m:e>
                <m:e>
                  <m:sSup>
                    <m:sSupPr>
                      <m:ctrlPr>
                        <w:rPr>
                          <w:rFonts w:ascii="Cambria Math" w:hAnsi="Cambria Math"/>
                        </w:rPr>
                      </m:ctrlPr>
                    </m:sSupPr>
                    <m:e>
                      <m:r>
                        <w:rPr>
                          <w:rFonts w:ascii="Cambria Math" w:hAnsi="Cambria Math"/>
                          <w:sz w:val="16"/>
                          <w:szCs w:val="16"/>
                        </w:rPr>
                        <m:t>e</m:t>
                      </m:r>
                    </m:e>
                    <m:sup>
                      <m:r>
                        <w:rPr>
                          <w:rFonts w:ascii="Cambria Math" w:hAnsi="Cambria Math"/>
                          <w:sz w:val="16"/>
                          <w:szCs w:val="16"/>
                        </w:rPr>
                        <m:t>-(t-</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0</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f</m:t>
                          </m:r>
                        </m:sub>
                      </m:sSub>
                      <m:r>
                        <w:rPr>
                          <w:rFonts w:ascii="Cambria Math" w:hAnsi="Cambria Math"/>
                          <w:sz w:val="16"/>
                          <w:szCs w:val="16"/>
                        </w:rPr>
                        <m:t>-τ)/τ</m:t>
                      </m:r>
                    </m:sup>
                  </m:sSup>
                  <m:r>
                    <w:rPr>
                      <w:rFonts w:ascii="Cambria Math" w:hAnsi="Cambria Math"/>
                      <w:sz w:val="16"/>
                      <w:szCs w:val="16"/>
                    </w:rPr>
                    <m:t>,    t≥</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0</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f</m:t>
                      </m:r>
                    </m:sub>
                  </m:sSub>
                  <m:r>
                    <w:rPr>
                      <w:rFonts w:ascii="Cambria Math" w:hAnsi="Cambria Math"/>
                      <w:sz w:val="16"/>
                      <w:szCs w:val="16"/>
                    </w:rPr>
                    <m:t>+τ,</m:t>
                  </m:r>
                </m:e>
              </m:eqArr>
            </m:e>
          </m:d>
        </m:oMath>
      </m:oMathPara>
    </w:p>
    <w:p w14:paraId="5E4520B5" w14:textId="77777777" w:rsidR="003A55AF" w:rsidRDefault="00000000">
      <w:pPr>
        <w:pStyle w:val="BodyText"/>
      </w:pPr>
      <w:r>
        <w:t xml:space="preserve">with </w:t>
      </w:r>
      <m:oMath>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f</m:t>
            </m:r>
          </m:sub>
        </m:sSub>
        <m:r>
          <w:rPr>
            <w:rFonts w:ascii="Cambria Math" w:hAnsi="Cambria Math"/>
            <w:sz w:val="16"/>
            <w:szCs w:val="16"/>
          </w:rPr>
          <m:t>≥0</m:t>
        </m:r>
      </m:oMath>
      <w:r>
        <w:t xml:space="preserve"> and </w:t>
      </w:r>
      <m:oMath>
        <m:r>
          <w:rPr>
            <w:rFonts w:ascii="Cambria Math" w:hAnsi="Cambria Math"/>
            <w:sz w:val="16"/>
            <w:szCs w:val="16"/>
          </w:rPr>
          <m:t>τ&gt;0</m:t>
        </m:r>
      </m:oMath>
      <w:r>
        <w:t>.</w:t>
      </w:r>
    </w:p>
    <w:p w14:paraId="1D04A6B5" w14:textId="77777777" w:rsidR="003A55AF" w:rsidRDefault="00000000">
      <w:pPr>
        <w:pStyle w:val="BodyText"/>
      </w:pPr>
      <w:r>
        <w:rPr>
          <w:b/>
        </w:rPr>
        <w:lastRenderedPageBreak/>
        <w:t>In plain words.</w:t>
      </w:r>
      <w:r>
        <w:t xml:space="preserve"> Incoming influence is inactive before </w:t>
      </w:r>
      <m:oMath>
        <m:sSub>
          <m:sSubPr>
            <m:ctrlPr>
              <w:rPr>
                <w:rFonts w:ascii="Cambria Math" w:hAnsi="Cambria Math"/>
              </w:rPr>
            </m:ctrlPr>
          </m:sSubPr>
          <m:e>
            <m:r>
              <w:rPr>
                <w:rFonts w:ascii="Cambria Math" w:hAnsi="Cambria Math"/>
                <w:sz w:val="16"/>
                <w:szCs w:val="16"/>
              </w:rPr>
              <m:t>t</m:t>
            </m:r>
          </m:e>
          <m:sub>
            <m:r>
              <w:rPr>
                <w:rFonts w:ascii="Cambria Math" w:hAnsi="Cambria Math"/>
                <w:sz w:val="16"/>
                <w:szCs w:val="16"/>
              </w:rPr>
              <m:t>0</m:t>
            </m:r>
          </m:sub>
        </m:sSub>
      </m:oMath>
      <w:r>
        <w:t xml:space="preserve">, rises linearly during formation, remains fully active for </w:t>
      </w:r>
      <m:oMath>
        <m:r>
          <w:rPr>
            <w:rFonts w:ascii="Cambria Math" w:hAnsi="Cambria Math"/>
            <w:sz w:val="16"/>
            <w:szCs w:val="16"/>
          </w:rPr>
          <m:t>τ</m:t>
        </m:r>
      </m:oMath>
      <w:r>
        <w:t xml:space="preserve"> steps, and then decays exponentially. The source state is retained; only the target response is gated. Event timing is declared rather than discovered.</w:t>
      </w:r>
    </w:p>
    <w:p w14:paraId="567C3742" w14:textId="77777777" w:rsidR="003A55AF" w:rsidRDefault="00000000">
      <w:pPr>
        <w:pStyle w:val="Heading2"/>
      </w:pPr>
      <w:r>
        <w:t>Magnitude dynamics</w:t>
      </w:r>
    </w:p>
    <w:p w14:paraId="7660C015" w14:textId="77777777" w:rsidR="003A55AF" w:rsidRDefault="00000000">
      <w:pPr>
        <w:pStyle w:val="BodyText"/>
      </w:pPr>
      <w:r>
        <w:t xml:space="preserve">Let </w:t>
      </w:r>
      <m:oMath>
        <m:r>
          <w:rPr>
            <w:rFonts w:ascii="Cambria Math" w:hAnsi="Cambria Math"/>
            <w:sz w:val="16"/>
            <w:szCs w:val="16"/>
          </w:rPr>
          <m:t>M(t)∈</m:t>
        </m:r>
        <m:sSup>
          <m:sSupPr>
            <m:ctrlPr>
              <w:rPr>
                <w:rFonts w:ascii="Cambria Math" w:hAnsi="Cambria Math"/>
              </w:rPr>
            </m:ctrlPr>
          </m:sSupPr>
          <m:e>
            <m:r>
              <m:rPr>
                <m:scr m:val="double-struck"/>
              </m:rPr>
              <w:rPr>
                <w:rFonts w:ascii="Cambria Math" w:hAnsi="Cambria Math"/>
                <w:sz w:val="16"/>
                <w:szCs w:val="16"/>
              </w:rPr>
              <m:t>R</m:t>
            </m:r>
          </m:e>
          <m:sup>
            <m:r>
              <w:rPr>
                <w:rFonts w:ascii="Cambria Math" w:hAnsi="Cambria Math"/>
                <w:sz w:val="16"/>
                <w:szCs w:val="16"/>
              </w:rPr>
              <m:t>n</m:t>
            </m:r>
          </m:sup>
        </m:sSup>
      </m:oMath>
      <w:r>
        <w:t xml:space="preserve"> denote the standardized increment vector. One update is</w:t>
      </w:r>
    </w:p>
    <w:p w14:paraId="78B5CF0D" w14:textId="77777777" w:rsidR="003A55AF" w:rsidRDefault="00000000">
      <w:pPr>
        <w:pStyle w:val="equation"/>
      </w:pPr>
      <m:oMathPara>
        <m:oMathParaPr>
          <m:jc m:val="center"/>
        </m:oMathParaP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i</m:t>
              </m:r>
            </m:sub>
          </m:sSub>
          <m:r>
            <w:rPr>
              <w:rFonts w:ascii="Cambria Math" w:hAnsi="Cambria Math"/>
              <w:sz w:val="16"/>
              <w:szCs w:val="16"/>
            </w:rPr>
            <m:t>(t+1)=</m:t>
          </m:r>
          <m:sSub>
            <m:sSubPr>
              <m:ctrlPr>
                <w:rPr>
                  <w:rFonts w:ascii="Cambria Math" w:hAnsi="Cambria Math"/>
                </w:rPr>
              </m:ctrlPr>
            </m:sSubPr>
            <m:e>
              <m:r>
                <w:rPr>
                  <w:rFonts w:ascii="Cambria Math" w:hAnsi="Cambria Math"/>
                  <w:sz w:val="16"/>
                  <w:szCs w:val="16"/>
                </w:rPr>
                <m:t>b</m:t>
              </m:r>
            </m:e>
            <m:sub>
              <m:r>
                <w:rPr>
                  <w:rFonts w:ascii="Cambria Math" w:hAnsi="Cambria Math"/>
                  <w:sz w:val="16"/>
                  <w:szCs w:val="16"/>
                </w:rPr>
                <m:t>i</m:t>
              </m:r>
            </m:sub>
          </m:sSub>
          <m:r>
            <w:rPr>
              <w:rFonts w:ascii="Cambria Math" w:hAnsi="Cambria Math"/>
              <w:sz w:val="16"/>
              <w:szCs w:val="16"/>
            </w:rPr>
            <m:t>+α</m:t>
          </m:r>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i</m:t>
              </m:r>
            </m:sub>
          </m:sSub>
          <m:r>
            <w:rPr>
              <w:rFonts w:ascii="Cambria Math" w:hAnsi="Cambria Math"/>
              <w:sz w:val="16"/>
              <w:szCs w:val="16"/>
            </w:rPr>
            <m:t>(t)+β</m:t>
          </m:r>
          <m:sSub>
            <m:sSubPr>
              <m:ctrlPr>
                <w:rPr>
                  <w:rFonts w:ascii="Cambria Math" w:hAnsi="Cambria Math"/>
                </w:rPr>
              </m:ctrlPr>
            </m:sSubPr>
            <m:e>
              <m:r>
                <w:rPr>
                  <w:rFonts w:ascii="Cambria Math" w:hAnsi="Cambria Math"/>
                  <w:sz w:val="16"/>
                  <w:szCs w:val="16"/>
                </w:rPr>
                <m:t>Φ</m:t>
              </m:r>
            </m:e>
            <m:sub>
              <m:r>
                <w:rPr>
                  <w:rFonts w:ascii="Cambria Math" w:hAnsi="Cambria Math"/>
                  <w:sz w:val="16"/>
                  <w:szCs w:val="16"/>
                </w:rPr>
                <m:t>i</m:t>
              </m:r>
            </m:sub>
          </m:sSub>
          <m:r>
            <w:rPr>
              <w:rFonts w:ascii="Cambria Math" w:hAnsi="Cambria Math"/>
              <w:sz w:val="16"/>
              <w:szCs w:val="16"/>
            </w:rPr>
            <m:t>(t)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i</m:t>
              </m:r>
            </m:sub>
          </m:sSub>
          <m:r>
            <w:rPr>
              <w:rFonts w:ascii="Cambria Math" w:hAnsi="Cambria Math"/>
              <w:sz w:val="16"/>
              <w:szCs w:val="16"/>
            </w:rPr>
            <m:t>(t)+</m:t>
          </m:r>
          <m:sSub>
            <m:sSubPr>
              <m:ctrlPr>
                <w:rPr>
                  <w:rFonts w:ascii="Cambria Math" w:hAnsi="Cambria Math"/>
                </w:rPr>
              </m:ctrlPr>
            </m:sSubPr>
            <m:e>
              <m:r>
                <w:rPr>
                  <w:rFonts w:ascii="Cambria Math" w:hAnsi="Cambria Math"/>
                  <w:sz w:val="16"/>
                  <w:szCs w:val="16"/>
                </w:rPr>
                <m:t>B</m:t>
              </m:r>
            </m:e>
            <m:sub>
              <m:r>
                <w:rPr>
                  <w:rFonts w:ascii="Cambria Math" w:hAnsi="Cambria Math"/>
                  <w:sz w:val="16"/>
                  <w:szCs w:val="16"/>
                </w:rPr>
                <m:t>i</m:t>
              </m:r>
            </m:sub>
          </m:sSub>
          <m:r>
            <w:rPr>
              <w:rFonts w:ascii="Cambria Math" w:hAnsi="Cambria Math"/>
              <w:sz w:val="16"/>
              <w:szCs w:val="16"/>
            </w:rPr>
            <m:t>.</m:t>
          </m:r>
        </m:oMath>
      </m:oMathPara>
    </w:p>
    <w:p w14:paraId="71D51570" w14:textId="77777777" w:rsidR="003A55AF" w:rsidRDefault="00000000">
      <w:pPr>
        <w:pStyle w:val="BodyText"/>
      </w:pPr>
      <w:r>
        <w:t>The total incoming influence is</w:t>
      </w:r>
    </w:p>
    <w:p w14:paraId="16A4634D" w14:textId="77777777" w:rsidR="003A55AF" w:rsidRDefault="00000000">
      <w:pPr>
        <w:pStyle w:val="equation"/>
      </w:pPr>
      <m:oMathPara>
        <m:oMathParaPr>
          <m:jc m:val="center"/>
        </m:oMathParaP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i</m:t>
              </m:r>
            </m:sub>
          </m:sSub>
          <m:r>
            <w:rPr>
              <w:rFonts w:ascii="Cambria Math" w:hAnsi="Cambria Math"/>
              <w:sz w:val="16"/>
              <w:szCs w:val="16"/>
            </w:rPr>
            <m:t>(t)=</m:t>
          </m:r>
          <m:nary>
            <m:naryPr>
              <m:chr m:val="∑"/>
              <m:limLoc m:val="undOvr"/>
              <m:supHide m:val="1"/>
              <m:ctrlPr>
                <w:rPr>
                  <w:rFonts w:ascii="Cambria Math" w:hAnsi="Cambria Math"/>
                </w:rPr>
              </m:ctrlPr>
            </m:naryPr>
            <m:sub>
              <m:r>
                <w:rPr>
                  <w:rFonts w:ascii="Cambria Math" w:hAnsi="Cambria Math"/>
                  <w:sz w:val="16"/>
                  <w:szCs w:val="16"/>
                </w:rPr>
                <m:t>R:</m:t>
              </m:r>
              <m:r>
                <m:rPr>
                  <m:sty m:val="p"/>
                </m:rPr>
                <w:rPr>
                  <w:rFonts w:ascii="Cambria Math" w:hAnsi="Cambria Math"/>
                  <w:sz w:val="16"/>
                  <w:szCs w:val="16"/>
                </w:rPr>
                <m:t>target</m:t>
              </m:r>
              <m:r>
                <w:rPr>
                  <w:rFonts w:ascii="Cambria Math" w:hAnsi="Cambria Math"/>
                  <w:sz w:val="16"/>
                  <w:szCs w:val="16"/>
                </w:rPr>
                <m:t>(R)=i</m:t>
              </m:r>
            </m:sub>
            <m:sup/>
            <m:e>
              <m:sSub>
                <m:sSubPr>
                  <m:ctrlPr>
                    <w:rPr>
                      <w:rFonts w:ascii="Cambria Math" w:hAnsi="Cambria Math"/>
                    </w:rPr>
                  </m:ctrlPr>
                </m:sSubPr>
                <m:e>
                  <m:r>
                    <w:rPr>
                      <w:rFonts w:ascii="Cambria Math" w:hAnsi="Cambria Math"/>
                      <w:sz w:val="16"/>
                      <w:szCs w:val="16"/>
                    </w:rPr>
                    <m:t>w</m:t>
                  </m:r>
                </m:e>
                <m:sub>
                  <m:r>
                    <w:rPr>
                      <w:rFonts w:ascii="Cambria Math" w:hAnsi="Cambria Math"/>
                      <w:sz w:val="16"/>
                      <w:szCs w:val="16"/>
                    </w:rPr>
                    <m:t>R</m:t>
                  </m:r>
                </m:sub>
              </m:sSub>
              <m:sSub>
                <m:sSubPr>
                  <m:ctrlPr>
                    <w:rPr>
                      <w:rFonts w:ascii="Cambria Math" w:hAnsi="Cambria Math"/>
                    </w:rPr>
                  </m:ctrlPr>
                </m:sSubPr>
                <m:e>
                  <m:r>
                    <w:rPr>
                      <w:rFonts w:ascii="Cambria Math" w:hAnsi="Cambria Math"/>
                      <w:sz w:val="16"/>
                      <w:szCs w:val="16"/>
                    </w:rPr>
                    <m:t>g</m:t>
                  </m:r>
                </m:e>
                <m:sub>
                  <m:r>
                    <w:rPr>
                      <w:rFonts w:ascii="Cambria Math" w:hAnsi="Cambria Math"/>
                      <w:sz w:val="16"/>
                      <w:szCs w:val="16"/>
                    </w:rPr>
                    <m:t>R</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J</m:t>
                      </m:r>
                    </m:sub>
                  </m:sSub>
                  <m:r>
                    <w:rPr>
                      <w:rFonts w:ascii="Cambria Math" w:hAnsi="Cambria Math"/>
                      <w:sz w:val="16"/>
                      <w:szCs w:val="16"/>
                    </w:rPr>
                    <m:t>(t-</m:t>
                  </m:r>
                  <m:sSub>
                    <m:sSubPr>
                      <m:ctrlPr>
                        <w:rPr>
                          <w:rFonts w:ascii="Cambria Math" w:hAnsi="Cambria Math"/>
                        </w:rPr>
                      </m:ctrlPr>
                    </m:sSubPr>
                    <m:e>
                      <m:r>
                        <m:rPr>
                          <m:scr m:val="script"/>
                        </m:rPr>
                        <w:rPr>
                          <w:rFonts w:ascii="Cambria Math" w:hAnsi="Cambria Math"/>
                          <w:sz w:val="16"/>
                          <w:szCs w:val="16"/>
                        </w:rPr>
                        <m:t>l</m:t>
                      </m:r>
                    </m:e>
                    <m:sub>
                      <m:r>
                        <w:rPr>
                          <w:rFonts w:ascii="Cambria Math" w:hAnsi="Cambria Math"/>
                          <w:sz w:val="16"/>
                          <w:szCs w:val="16"/>
                        </w:rPr>
                        <m:t>R</m:t>
                      </m:r>
                    </m:sub>
                  </m:sSub>
                  <m:r>
                    <w:rPr>
                      <w:rFonts w:ascii="Cambria Math" w:hAnsi="Cambria Math"/>
                      <w:sz w:val="16"/>
                      <w:szCs w:val="16"/>
                    </w:rPr>
                    <m:t>)</m:t>
                  </m:r>
                </m:e>
              </m:d>
              <m:r>
                <w:rPr>
                  <w:rFonts w:ascii="Cambria Math" w:hAnsi="Cambria Math"/>
                  <w:sz w:val="16"/>
                  <w:szCs w:val="16"/>
                </w:rPr>
                <m:t>.</m:t>
              </m:r>
            </m:e>
          </m:nary>
        </m:oMath>
      </m:oMathPara>
    </w:p>
    <w:p w14:paraId="3B822CF5" w14:textId="77777777" w:rsidR="003A55AF" w:rsidRDefault="00000000">
      <w:pPr>
        <w:pStyle w:val="BodyText"/>
      </w:pPr>
      <w:r>
        <w:t xml:space="preserve">The experiments set </w:t>
      </w:r>
      <m:oMath>
        <m:r>
          <w:rPr>
            <w:rFonts w:ascii="Cambria Math" w:hAnsi="Cambria Math"/>
            <w:sz w:val="16"/>
            <w:szCs w:val="16"/>
          </w:rPr>
          <m:t>α=0</m:t>
        </m:r>
      </m:oMath>
      <w:r>
        <w:t xml:space="preserve"> and estimate persistence through named self-relationships. The initial global gain is </w:t>
      </w:r>
      <m:oMath>
        <m:r>
          <w:rPr>
            <w:rFonts w:ascii="Cambria Math" w:hAnsi="Cambria Math"/>
            <w:sz w:val="16"/>
            <w:szCs w:val="16"/>
          </w:rPr>
          <m:t>β=1</m:t>
        </m:r>
      </m:oMath>
      <w:r>
        <w:t xml:space="preserve"> and may be reduced by stability projection.</w:t>
      </w:r>
    </w:p>
    <w:p w14:paraId="0C037E63" w14:textId="77777777" w:rsidR="003A55AF" w:rsidRDefault="00000000">
      <w:pPr>
        <w:pStyle w:val="BodyText"/>
      </w:pPr>
      <w:r>
        <w:rPr>
          <w:b/>
        </w:rPr>
        <w:t>In plain words.</w:t>
      </w:r>
      <w:r>
        <w:t xml:space="preserve"> The next change combines an intercept, optional memory, event-gated incoming relationships, and declared drift. Each relationship reads the required source values at its stored lag and contributes through its stored feature and coefficient.</w:t>
      </w:r>
    </w:p>
    <w:p w14:paraId="7D144519" w14:textId="77777777" w:rsidR="003A55AF" w:rsidRDefault="00000000">
      <w:pPr>
        <w:pStyle w:val="Heading2"/>
      </w:pPr>
      <w:r>
        <w:t>The influence store</w:t>
      </w:r>
    </w:p>
    <w:p w14:paraId="0DABC593" w14:textId="77777777" w:rsidR="003A55AF" w:rsidRDefault="00000000">
      <w:pPr>
        <w:pStyle w:val="BodyText"/>
      </w:pPr>
      <w:r>
        <w:t>A relationship entry is</w:t>
      </w:r>
    </w:p>
    <w:p w14:paraId="11C744B0" w14:textId="77777777" w:rsidR="003A55AF" w:rsidRDefault="00000000">
      <w:pPr>
        <w:pStyle w:val="equation"/>
      </w:pPr>
      <m:oMathPara>
        <m:oMathParaPr>
          <m:jc m:val="center"/>
        </m:oMathParaPr>
        <m:oMath>
          <m:r>
            <w:rPr>
              <w:rFonts w:ascii="Cambria Math" w:hAnsi="Cambria Math"/>
              <w:sz w:val="16"/>
              <w:szCs w:val="16"/>
            </w:rPr>
            <m:t>R=(i,J</m:t>
          </m:r>
          <m:r>
            <m:rPr>
              <m:scr m:val="script"/>
            </m:rPr>
            <w:rPr>
              <w:rFonts w:ascii="Cambria Math" w:hAnsi="Cambria Math"/>
              <w:sz w:val="16"/>
              <w:szCs w:val="16"/>
            </w:rPr>
            <m:t>,l,</m:t>
          </m:r>
          <m:r>
            <w:rPr>
              <w:rFonts w:ascii="Cambria Math" w:hAnsi="Cambria Math"/>
              <w:sz w:val="16"/>
              <w:szCs w:val="16"/>
            </w:rPr>
            <m:t>g,w,q,c),</m:t>
          </m:r>
        </m:oMath>
      </m:oMathPara>
    </w:p>
    <w:p w14:paraId="24A2D4D4" w14:textId="77777777" w:rsidR="003A55AF" w:rsidRDefault="00000000">
      <w:pPr>
        <w:pStyle w:val="BodyText"/>
      </w:pPr>
      <w:r>
        <w:t xml:space="preserve">where </w:t>
      </w:r>
      <m:oMath>
        <m:r>
          <w:rPr>
            <w:rFonts w:ascii="Cambria Math" w:hAnsi="Cambria Math"/>
            <w:sz w:val="16"/>
            <w:szCs w:val="16"/>
          </w:rPr>
          <m:t>i</m:t>
        </m:r>
      </m:oMath>
      <w:r>
        <w:t xml:space="preserve"> is the target, </w:t>
      </w:r>
      <m:oMath>
        <m:r>
          <w:rPr>
            <w:rFonts w:ascii="Cambria Math" w:hAnsi="Cambria Math"/>
            <w:sz w:val="16"/>
            <w:szCs w:val="16"/>
          </w:rPr>
          <m:t>J</m:t>
        </m:r>
      </m:oMath>
      <w:r>
        <w:t xml:space="preserve"> is the source tuple, </w:t>
      </w:r>
      <m:oMath>
        <m:r>
          <m:rPr>
            <m:scr m:val="script"/>
          </m:rPr>
          <w:rPr>
            <w:rFonts w:ascii="Cambria Math" w:hAnsi="Cambria Math"/>
            <w:sz w:val="16"/>
            <w:szCs w:val="16"/>
          </w:rPr>
          <m:t>l</m:t>
        </m:r>
      </m:oMath>
      <w:r>
        <w:t xml:space="preserve"> is an integer lag, </w:t>
      </w:r>
      <m:oMath>
        <m:r>
          <w:rPr>
            <w:rFonts w:ascii="Cambria Math" w:hAnsi="Cambria Math"/>
            <w:sz w:val="16"/>
            <w:szCs w:val="16"/>
          </w:rPr>
          <m:t>g</m:t>
        </m:r>
      </m:oMath>
      <w:r>
        <w:t xml:space="preserve"> is a feature, </w:t>
      </w:r>
      <m:oMath>
        <m:r>
          <w:rPr>
            <w:rFonts w:ascii="Cambria Math" w:hAnsi="Cambria Math"/>
            <w:sz w:val="16"/>
            <w:szCs w:val="16"/>
          </w:rPr>
          <m:t>w</m:t>
        </m:r>
      </m:oMath>
      <w:r>
        <w:t xml:space="preserve"> is its coefficient, </w:t>
      </w:r>
      <m:oMath>
        <m:r>
          <w:rPr>
            <w:rFonts w:ascii="Cambria Math" w:hAnsi="Cambria Math"/>
            <w:sz w:val="16"/>
            <w:szCs w:val="16"/>
          </w:rPr>
          <m:t>q</m:t>
        </m:r>
      </m:oMath>
      <w:r>
        <w:t xml:space="preserve"> is its admission score, and </w:t>
      </w:r>
      <m:oMath>
        <m:r>
          <w:rPr>
            <w:rFonts w:ascii="Cambria Math" w:hAnsi="Cambria Math"/>
            <w:sz w:val="16"/>
            <w:szCs w:val="16"/>
          </w:rPr>
          <m:t>c</m:t>
        </m:r>
      </m:oMath>
      <w:r>
        <w:t xml:space="preserve"> is its constraint state.</w:t>
      </w:r>
    </w:p>
    <w:p w14:paraId="15CB8809" w14:textId="77777777" w:rsidR="003A55AF" w:rsidRDefault="00000000">
      <w:pPr>
        <w:pStyle w:val="BodyText"/>
      </w:pPr>
      <w:r>
        <w:rPr>
          <w:b/>
        </w:rPr>
        <w:t>Fixed coefficient</w:t>
      </w:r>
    </w:p>
    <w:p w14:paraId="3C2E6B88" w14:textId="77777777" w:rsidR="003A55AF" w:rsidRDefault="00000000">
      <w:pPr>
        <w:pStyle w:val="equation"/>
      </w:pPr>
      <m:oMathPara>
        <m:oMathParaPr>
          <m:jc m:val="center"/>
        </m:oMathParaPr>
        <m:oMath>
          <m:r>
            <w:rPr>
              <w:rFonts w:ascii="Cambria Math" w:hAnsi="Cambria Math"/>
              <w:sz w:val="16"/>
              <w:szCs w:val="16"/>
            </w:rPr>
            <m:t>w=</m:t>
          </m:r>
          <m:sSub>
            <m:sSubPr>
              <m:ctrlPr>
                <w:rPr>
                  <w:rFonts w:ascii="Cambria Math" w:hAnsi="Cambria Math"/>
                </w:rPr>
              </m:ctrlPr>
            </m:sSubPr>
            <m:e>
              <m:r>
                <w:rPr>
                  <w:rFonts w:ascii="Cambria Math" w:hAnsi="Cambria Math"/>
                  <w:sz w:val="16"/>
                  <w:szCs w:val="16"/>
                </w:rPr>
                <m:t>w</m:t>
              </m:r>
            </m:e>
            <m:sub>
              <m:r>
                <m:rPr>
                  <m:sty m:val="p"/>
                </m:rPr>
                <w:rPr>
                  <w:rFonts w:ascii="Cambria Math" w:hAnsi="Cambria Math"/>
                  <w:sz w:val="16"/>
                  <w:szCs w:val="16"/>
                </w:rPr>
                <m:t>expert</m:t>
              </m:r>
            </m:sub>
          </m:sSub>
          <m:r>
            <w:rPr>
              <w:rFonts w:ascii="Cambria Math" w:hAnsi="Cambria Math"/>
              <w:sz w:val="16"/>
              <w:szCs w:val="16"/>
            </w:rPr>
            <m:t>.</m:t>
          </m:r>
        </m:oMath>
      </m:oMathPara>
    </w:p>
    <w:p w14:paraId="5BE004F7" w14:textId="77777777" w:rsidR="003A55AF" w:rsidRDefault="00000000">
      <w:pPr>
        <w:pStyle w:val="BodyText"/>
      </w:pPr>
      <w:r>
        <w:rPr>
          <w:b/>
        </w:rPr>
        <w:t>Sign-constrained coefficient</w:t>
      </w:r>
    </w:p>
    <w:p w14:paraId="3C2B594A" w14:textId="77777777" w:rsidR="003A55AF" w:rsidRDefault="00000000">
      <w:pPr>
        <w:pStyle w:val="equation"/>
      </w:pPr>
      <m:oMathPara>
        <m:oMathParaPr>
          <m:jc m:val="center"/>
        </m:oMathParaPr>
        <m:oMath>
          <m:r>
            <w:rPr>
              <w:rFonts w:ascii="Cambria Math" w:hAnsi="Cambria Math"/>
              <w:sz w:val="16"/>
              <w:szCs w:val="16"/>
            </w:rPr>
            <m:t>w≥0</m:t>
          </m:r>
        </m:oMath>
      </m:oMathPara>
    </w:p>
    <w:p w14:paraId="660D3263" w14:textId="77777777" w:rsidR="003A55AF" w:rsidRDefault="00000000">
      <w:pPr>
        <w:pStyle w:val="BodyText"/>
      </w:pPr>
      <w:r>
        <w:t>or</w:t>
      </w:r>
    </w:p>
    <w:p w14:paraId="2352FD3F" w14:textId="77777777" w:rsidR="003A55AF" w:rsidRDefault="00000000">
      <w:pPr>
        <w:pStyle w:val="equation"/>
      </w:pPr>
      <m:oMathPara>
        <m:oMathParaPr>
          <m:jc m:val="center"/>
        </m:oMathParaPr>
        <m:oMath>
          <m:r>
            <w:rPr>
              <w:rFonts w:ascii="Cambria Math" w:hAnsi="Cambria Math"/>
              <w:sz w:val="16"/>
              <w:szCs w:val="16"/>
            </w:rPr>
            <m:t>w≤0.</m:t>
          </m:r>
        </m:oMath>
      </m:oMathPara>
    </w:p>
    <w:p w14:paraId="41CA2856" w14:textId="77777777" w:rsidR="003A55AF" w:rsidRDefault="00000000">
      <w:pPr>
        <w:pStyle w:val="BodyText"/>
      </w:pPr>
      <w:r>
        <w:rPr>
          <w:b/>
        </w:rPr>
        <w:t>Bounded coefficient</w:t>
      </w:r>
    </w:p>
    <w:p w14:paraId="037A4BE7" w14:textId="77777777" w:rsidR="003A55AF" w:rsidRDefault="00000000">
      <w:pPr>
        <w:pStyle w:val="equation"/>
      </w:pPr>
      <m:oMathPara>
        <m:oMathParaPr>
          <m:jc m:val="center"/>
        </m:oMathParaPr>
        <m:oMath>
          <m:r>
            <w:rPr>
              <w:rFonts w:ascii="Cambria Math" w:hAnsi="Cambria Math"/>
              <w:sz w:val="16"/>
              <w:szCs w:val="16"/>
            </w:rPr>
            <m:t>a≤w≤b.</m:t>
          </m:r>
        </m:oMath>
      </m:oMathPara>
    </w:p>
    <w:p w14:paraId="05BE9C89" w14:textId="77777777" w:rsidR="003A55AF" w:rsidRDefault="00000000">
      <w:pPr>
        <w:pStyle w:val="BodyText"/>
      </w:pPr>
      <w:r>
        <w:t>A forbidden entry is excluded from the candidate set. An estimated entry is selected and fitted from training data.</w:t>
      </w:r>
    </w:p>
    <w:p w14:paraId="7C87EF69" w14:textId="77777777" w:rsidR="003A55AF" w:rsidRDefault="00000000">
      <w:pPr>
        <w:pStyle w:val="BodyText"/>
      </w:pPr>
      <w:r>
        <w:t xml:space="preserve">For each target, candidate features form a design matrix </w:t>
      </w:r>
      <m:oMath>
        <m:sSub>
          <m:sSubPr>
            <m:ctrlPr>
              <w:rPr>
                <w:rFonts w:ascii="Cambria Math" w:hAnsi="Cambria Math"/>
              </w:rPr>
            </m:ctrlPr>
          </m:sSubPr>
          <m:e>
            <m:r>
              <w:rPr>
                <w:rFonts w:ascii="Cambria Math" w:hAnsi="Cambria Math"/>
                <w:sz w:val="16"/>
                <w:szCs w:val="16"/>
              </w:rPr>
              <m:t>G</m:t>
            </m:r>
          </m:e>
          <m:sub>
            <m:r>
              <w:rPr>
                <w:rFonts w:ascii="Cambria Math" w:hAnsi="Cambria Math"/>
                <w:sz w:val="16"/>
                <w:szCs w:val="16"/>
              </w:rPr>
              <m:t>i</m:t>
            </m:r>
          </m:sub>
        </m:sSub>
      </m:oMath>
      <w:r>
        <w:t>. Free coefficients are fitted jointly:</w:t>
      </w:r>
    </w:p>
    <w:p w14:paraId="05F87F77" w14:textId="77777777" w:rsidR="003A55AF" w:rsidRDefault="00000000">
      <w:pPr>
        <w:pStyle w:val="equation"/>
      </w:pPr>
      <m:oMathPara>
        <m:oMathParaPr>
          <m:jc m:val="center"/>
        </m:oMathParaPr>
        <m:oMath>
          <m:sSub>
            <m:sSubPr>
              <m:ctrlPr>
                <w:rPr>
                  <w:rFonts w:ascii="Cambria Math" w:hAnsi="Cambria Math"/>
                </w:rPr>
              </m:ctrlPr>
            </m:sSubPr>
            <m:e>
              <m:r>
                <m:rPr>
                  <m:sty m:val="p"/>
                </m:rPr>
                <w:rPr>
                  <w:rFonts w:ascii="Cambria Math" w:hAnsi="Cambria Math"/>
                  <w:sz w:val="16"/>
                  <w:szCs w:val="16"/>
                </w:rPr>
                <m:t>min</m:t>
              </m:r>
            </m:e>
            <m:sub>
              <m:sSub>
                <m:sSubPr>
                  <m:ctrlPr>
                    <w:rPr>
                      <w:rFonts w:ascii="Cambria Math" w:hAnsi="Cambria Math"/>
                    </w:rPr>
                  </m:ctrlPr>
                </m:sSubPr>
                <m:e>
                  <m:r>
                    <w:rPr>
                      <w:rFonts w:ascii="Cambria Math" w:hAnsi="Cambria Math"/>
                      <w:sz w:val="16"/>
                      <w:szCs w:val="16"/>
                    </w:rPr>
                    <m:t>b</m:t>
                  </m:r>
                </m:e>
                <m:sub>
                  <m:r>
                    <w:rPr>
                      <w:rFonts w:ascii="Cambria Math" w:hAnsi="Cambria Math"/>
                      <w:sz w:val="16"/>
                      <w:szCs w:val="16"/>
                    </w:rPr>
                    <m:t>i</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w</m:t>
                  </m:r>
                </m:e>
                <m:sub>
                  <m:r>
                    <w:rPr>
                      <w:rFonts w:ascii="Cambria Math" w:hAnsi="Cambria Math"/>
                      <w:sz w:val="16"/>
                      <w:szCs w:val="16"/>
                    </w:rPr>
                    <m:t>i</m:t>
                  </m:r>
                </m:sub>
              </m:sSub>
            </m:sub>
          </m:sSub>
          <m:f>
            <m:fPr>
              <m:ctrlPr>
                <w:rPr>
                  <w:rFonts w:ascii="Cambria Math" w:hAnsi="Cambria Math"/>
                </w:rPr>
              </m:ctrlPr>
            </m:fPr>
            <m:num>
              <m:r>
                <w:rPr>
                  <w:rFonts w:ascii="Cambria Math" w:hAnsi="Cambria Math"/>
                  <w:sz w:val="16"/>
                  <w:szCs w:val="16"/>
                </w:rPr>
                <m:t>1</m:t>
              </m:r>
            </m:num>
            <m:den>
              <m:r>
                <w:rPr>
                  <w:rFonts w:ascii="Cambria Math" w:hAnsi="Cambria Math"/>
                  <w:sz w:val="16"/>
                  <w:szCs w:val="16"/>
                </w:rPr>
                <m:t>2T</m:t>
              </m:r>
            </m:den>
          </m:f>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i,2:T</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b</m:t>
                      </m:r>
                    </m:e>
                    <m:sub>
                      <m:r>
                        <w:rPr>
                          <w:rFonts w:ascii="Cambria Math" w:hAnsi="Cambria Math"/>
                          <w:sz w:val="16"/>
                          <w:szCs w:val="16"/>
                        </w:rPr>
                        <m:t>i</m:t>
                      </m:r>
                    </m:sub>
                  </m:sSub>
                  <m:r>
                    <m:rPr>
                      <m:sty m:val="p"/>
                    </m:rPr>
                    <w:rPr>
                      <w:rFonts w:ascii="Cambria Math" w:hAnsi="Cambria Math"/>
                      <w:sz w:val="16"/>
                      <w:szCs w:val="16"/>
                    </w:rPr>
                    <m:t>1</m:t>
                  </m:r>
                  <m:r>
                    <w:rPr>
                      <w:rFonts w:ascii="Cambria Math" w:hAnsi="Cambria Math"/>
                      <w:sz w:val="16"/>
                      <w:szCs w:val="16"/>
                    </w:rPr>
                    <m:t>-</m:t>
                  </m:r>
                  <m:sSub>
                    <m:sSubPr>
                      <m:ctrlPr>
                        <w:rPr>
                          <w:rFonts w:ascii="Cambria Math" w:hAnsi="Cambria Math"/>
                        </w:rPr>
                      </m:ctrlPr>
                    </m:sSubPr>
                    <m:e>
                      <m:r>
                        <w:rPr>
                          <w:rFonts w:ascii="Cambria Math" w:hAnsi="Cambria Math"/>
                          <w:sz w:val="16"/>
                          <w:szCs w:val="16"/>
                        </w:rPr>
                        <m:t>G</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w</m:t>
                      </m:r>
                    </m:e>
                    <m:sub>
                      <m:r>
                        <w:rPr>
                          <w:rFonts w:ascii="Cambria Math" w:hAnsi="Cambria Math"/>
                          <w:sz w:val="16"/>
                          <w:szCs w:val="16"/>
                        </w:rPr>
                        <m:t>i</m:t>
                      </m:r>
                    </m:sub>
                  </m:sSub>
                </m:e>
              </m:d>
            </m:e>
            <m:sub>
              <m:r>
                <w:rPr>
                  <w:rFonts w:ascii="Cambria Math" w:hAnsi="Cambria Math"/>
                  <w:sz w:val="16"/>
                  <w:szCs w:val="16"/>
                </w:rPr>
                <m:t>2</m:t>
              </m:r>
            </m:sub>
            <m:sup>
              <m:r>
                <w:rPr>
                  <w:rFonts w:ascii="Cambria Math" w:hAnsi="Cambria Math"/>
                  <w:sz w:val="16"/>
                  <w:szCs w:val="16"/>
                </w:rPr>
                <m:t>2</m:t>
              </m:r>
            </m:sup>
          </m:sSubSup>
          <m:r>
            <w:rPr>
              <w:rFonts w:ascii="Cambria Math" w:hAnsi="Cambria Math"/>
              <w:sz w:val="16"/>
              <w:szCs w:val="16"/>
            </w:rPr>
            <m:t>+λ</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sz w:val="16"/>
                          <w:szCs w:val="16"/>
                        </w:rPr>
                        <m:t>w</m:t>
                      </m:r>
                    </m:e>
                    <m:sub>
                      <m:r>
                        <w:rPr>
                          <w:rFonts w:ascii="Cambria Math" w:hAnsi="Cambria Math"/>
                          <w:sz w:val="16"/>
                          <w:szCs w:val="16"/>
                        </w:rPr>
                        <m:t>i,</m:t>
                      </m:r>
                      <m:r>
                        <m:rPr>
                          <m:sty m:val="p"/>
                        </m:rPr>
                        <w:rPr>
                          <w:rFonts w:ascii="Cambria Math" w:hAnsi="Cambria Math"/>
                          <w:sz w:val="16"/>
                          <w:szCs w:val="16"/>
                        </w:rPr>
                        <m:t>free</m:t>
                      </m:r>
                    </m:sub>
                  </m:sSub>
                </m:e>
              </m:d>
            </m:e>
            <m:sub>
              <m:r>
                <w:rPr>
                  <w:rFonts w:ascii="Cambria Math" w:hAnsi="Cambria Math"/>
                  <w:sz w:val="16"/>
                  <w:szCs w:val="16"/>
                </w:rPr>
                <m:t>1</m:t>
              </m:r>
            </m:sub>
          </m:sSub>
          <m:r>
            <w:rPr>
              <w:rFonts w:ascii="Cambria Math" w:hAnsi="Cambria Math"/>
              <w:sz w:val="16"/>
              <w:szCs w:val="16"/>
            </w:rPr>
            <m:t>,</m:t>
          </m:r>
        </m:oMath>
      </m:oMathPara>
    </w:p>
    <w:p w14:paraId="293EB67F" w14:textId="77777777" w:rsidR="003A55AF" w:rsidRDefault="00000000">
      <w:pPr>
        <w:pStyle w:val="BodyText"/>
      </w:pPr>
      <w:r>
        <w:t>subject to the declared sign and interval constraints. Proximal gradient updates are projected onto the allowed coefficient bounds. Candidate admission uses an absolute correlation effect-size threshold and is not interpreted as a statistical significance test.</w:t>
      </w:r>
    </w:p>
    <w:p w14:paraId="65EBFDCD" w14:textId="77777777" w:rsidR="003A55AF" w:rsidRDefault="00000000">
      <w:pPr>
        <w:pStyle w:val="BodyText"/>
      </w:pPr>
      <w:r>
        <w:rPr>
          <w:b/>
        </w:rPr>
        <w:t>In plain words.</w:t>
      </w:r>
      <w:r>
        <w:t xml:space="preserve"> The store is the fitted model. Expert entries remain exact, impossible edges remain absent, and all free entries targeting the same variable are estimated together. Joint fitting prevents correlated sources from each receiving an independent marginal coefficient for the same target movement.</w:t>
      </w:r>
    </w:p>
    <w:p w14:paraId="29748F3F" w14:textId="77777777" w:rsidR="003A55AF" w:rsidRDefault="00000000">
      <w:pPr>
        <w:pStyle w:val="Heading2"/>
      </w:pPr>
      <w:r>
        <w:t>The normalization layer</w:t>
      </w:r>
    </w:p>
    <w:p w14:paraId="77A81B55" w14:textId="77777777" w:rsidR="003A55AF" w:rsidRDefault="00000000">
      <w:pPr>
        <w:pStyle w:val="BodyText"/>
      </w:pPr>
      <w:r>
        <w:t>Each level series uses either first differences,</w:t>
      </w:r>
    </w:p>
    <w:p w14:paraId="072D759B" w14:textId="77777777" w:rsidR="003A55AF" w:rsidRDefault="00000000">
      <w:pPr>
        <w:pStyle w:val="equation"/>
      </w:pPr>
      <m:oMathPara>
        <m:oMathParaPr>
          <m:jc m:val="center"/>
        </m:oMathParaPr>
        <m:oMath>
          <m:sSub>
            <m:sSubPr>
              <m:ctrlPr>
                <w:rPr>
                  <w:rFonts w:ascii="Cambria Math" w:hAnsi="Cambria Math"/>
                </w:rPr>
              </m:ctrlPr>
            </m:sSubPr>
            <m:e>
              <m:r>
                <w:rPr>
                  <w:rFonts w:ascii="Cambria Math" w:hAnsi="Cambria Math"/>
                  <w:sz w:val="16"/>
                  <w:szCs w:val="16"/>
                </w:rPr>
                <m:t>d</m:t>
              </m:r>
            </m:e>
            <m:sub>
              <m:r>
                <w:rPr>
                  <w:rFonts w:ascii="Cambria Math" w:hAnsi="Cambria Math"/>
                  <w:sz w:val="16"/>
                  <w:szCs w:val="16"/>
                </w:rPr>
                <m:t>t,i</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x</m:t>
              </m:r>
            </m:e>
            <m:sub>
              <m:r>
                <w:rPr>
                  <w:rFonts w:ascii="Cambria Math" w:hAnsi="Cambria Math"/>
                  <w:sz w:val="16"/>
                  <w:szCs w:val="16"/>
                </w:rPr>
                <m:t>t,i</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x</m:t>
              </m:r>
            </m:e>
            <m:sub>
              <m:r>
                <w:rPr>
                  <w:rFonts w:ascii="Cambria Math" w:hAnsi="Cambria Math"/>
                  <w:sz w:val="16"/>
                  <w:szCs w:val="16"/>
                </w:rPr>
                <m:t>t-1,i</m:t>
              </m:r>
            </m:sub>
          </m:sSub>
          <m:r>
            <w:rPr>
              <w:rFonts w:ascii="Cambria Math" w:hAnsi="Cambria Math"/>
              <w:sz w:val="16"/>
              <w:szCs w:val="16"/>
            </w:rPr>
            <m:t>,</m:t>
          </m:r>
        </m:oMath>
      </m:oMathPara>
    </w:p>
    <w:p w14:paraId="76057A2C" w14:textId="77777777" w:rsidR="003A55AF" w:rsidRDefault="00000000">
      <w:pPr>
        <w:pStyle w:val="BodyText"/>
      </w:pPr>
      <w:r>
        <w:t>or log differences for strictly positive multiplicative series,</w:t>
      </w:r>
    </w:p>
    <w:p w14:paraId="4B2CD309" w14:textId="77777777" w:rsidR="003A55AF" w:rsidRDefault="00000000">
      <w:pPr>
        <w:pStyle w:val="equation"/>
      </w:pPr>
      <m:oMathPara>
        <m:oMathParaPr>
          <m:jc m:val="center"/>
        </m:oMathParaPr>
        <m:oMath>
          <m:sSub>
            <m:sSubPr>
              <m:ctrlPr>
                <w:rPr>
                  <w:rFonts w:ascii="Cambria Math" w:hAnsi="Cambria Math"/>
                </w:rPr>
              </m:ctrlPr>
            </m:sSubPr>
            <m:e>
              <m:r>
                <w:rPr>
                  <w:rFonts w:ascii="Cambria Math" w:hAnsi="Cambria Math"/>
                  <w:sz w:val="16"/>
                  <w:szCs w:val="16"/>
                </w:rPr>
                <m:t>d</m:t>
              </m:r>
            </m:e>
            <m:sub>
              <m:r>
                <w:rPr>
                  <w:rFonts w:ascii="Cambria Math" w:hAnsi="Cambria Math"/>
                  <w:sz w:val="16"/>
                  <w:szCs w:val="16"/>
                </w:rPr>
                <m:t>t,i</m:t>
              </m:r>
            </m:sub>
          </m:sSub>
          <m:r>
            <w:rPr>
              <w:rFonts w:ascii="Cambria Math" w:hAnsi="Cambria Math"/>
              <w:sz w:val="16"/>
              <w:szCs w:val="16"/>
            </w:rPr>
            <m:t>=</m:t>
          </m:r>
          <m:r>
            <m:rPr>
              <m:sty m:val="p"/>
            </m:rPr>
            <w:rPr>
              <w:rFonts w:ascii="Cambria Math" w:hAnsi="Cambria Math"/>
              <w:sz w:val="16"/>
              <w:szCs w:val="16"/>
            </w:rPr>
            <m:t>log</m:t>
          </m:r>
          <m:sSub>
            <m:sSubPr>
              <m:ctrlPr>
                <w:rPr>
                  <w:rFonts w:ascii="Cambria Math" w:hAnsi="Cambria Math"/>
                </w:rPr>
              </m:ctrlPr>
            </m:sSubPr>
            <m:e>
              <m:r>
                <w:rPr>
                  <w:rFonts w:ascii="Cambria Math" w:hAnsi="Cambria Math"/>
                  <w:sz w:val="16"/>
                  <w:szCs w:val="16"/>
                </w:rPr>
                <m:t>x</m:t>
              </m:r>
            </m:e>
            <m:sub>
              <m:r>
                <w:rPr>
                  <w:rFonts w:ascii="Cambria Math" w:hAnsi="Cambria Math"/>
                  <w:sz w:val="16"/>
                  <w:szCs w:val="16"/>
                </w:rPr>
                <m:t>t,i</m:t>
              </m:r>
            </m:sub>
          </m:sSub>
          <m:r>
            <w:rPr>
              <w:rFonts w:ascii="Cambria Math" w:hAnsi="Cambria Math"/>
              <w:sz w:val="16"/>
              <w:szCs w:val="16"/>
            </w:rPr>
            <m:t>-</m:t>
          </m:r>
          <m:r>
            <m:rPr>
              <m:sty m:val="p"/>
            </m:rPr>
            <w:rPr>
              <w:rFonts w:ascii="Cambria Math" w:hAnsi="Cambria Math"/>
              <w:sz w:val="16"/>
              <w:szCs w:val="16"/>
            </w:rPr>
            <m:t>log</m:t>
          </m:r>
          <m:sSub>
            <m:sSubPr>
              <m:ctrlPr>
                <w:rPr>
                  <w:rFonts w:ascii="Cambria Math" w:hAnsi="Cambria Math"/>
                </w:rPr>
              </m:ctrlPr>
            </m:sSubPr>
            <m:e>
              <m:r>
                <w:rPr>
                  <w:rFonts w:ascii="Cambria Math" w:hAnsi="Cambria Math"/>
                  <w:sz w:val="16"/>
                  <w:szCs w:val="16"/>
                </w:rPr>
                <m:t>x</m:t>
              </m:r>
            </m:e>
            <m:sub>
              <m:r>
                <w:rPr>
                  <w:rFonts w:ascii="Cambria Math" w:hAnsi="Cambria Math"/>
                  <w:sz w:val="16"/>
                  <w:szCs w:val="16"/>
                </w:rPr>
                <m:t>t-1,i</m:t>
              </m:r>
            </m:sub>
          </m:sSub>
          <m:r>
            <w:rPr>
              <w:rFonts w:ascii="Cambria Math" w:hAnsi="Cambria Math"/>
              <w:sz w:val="16"/>
              <w:szCs w:val="16"/>
            </w:rPr>
            <m:t>.</m:t>
          </m:r>
        </m:oMath>
      </m:oMathPara>
    </w:p>
    <w:p w14:paraId="11A8CD13" w14:textId="77777777" w:rsidR="003A55AF" w:rsidRDefault="00000000">
      <w:pPr>
        <w:pStyle w:val="BodyText"/>
      </w:pPr>
      <w:r>
        <w:t>Training increments are standardized as</w:t>
      </w:r>
    </w:p>
    <w:p w14:paraId="13D00C59" w14:textId="77777777" w:rsidR="003A55AF" w:rsidRDefault="00000000">
      <w:pPr>
        <w:pStyle w:val="equation"/>
      </w:pPr>
      <m:oMathPara>
        <m:oMathParaPr>
          <m:jc m:val="center"/>
        </m:oMathParaPr>
        <m:oMath>
          <m:sSub>
            <m:sSubPr>
              <m:ctrlPr>
                <w:rPr>
                  <w:rFonts w:ascii="Cambria Math" w:hAnsi="Cambria Math"/>
                </w:rPr>
              </m:ctrlPr>
            </m:sSubPr>
            <m:e>
              <m:r>
                <w:rPr>
                  <w:rFonts w:ascii="Cambria Math" w:hAnsi="Cambria Math"/>
                  <w:sz w:val="16"/>
                  <w:szCs w:val="16"/>
                </w:rPr>
                <m:t>z</m:t>
              </m:r>
            </m:e>
            <m:sub>
              <m:r>
                <w:rPr>
                  <w:rFonts w:ascii="Cambria Math" w:hAnsi="Cambria Math"/>
                  <w:sz w:val="16"/>
                  <w:szCs w:val="16"/>
                </w:rPr>
                <m:t>t,i</m:t>
              </m:r>
            </m:sub>
          </m:sSub>
          <m:r>
            <w:rPr>
              <w:rFonts w:ascii="Cambria Math" w:hAnsi="Cambria Math"/>
              <w:sz w:val="16"/>
              <w:szCs w:val="16"/>
            </w:rPr>
            <m:t>=</m:t>
          </m:r>
          <m:f>
            <m:fPr>
              <m:ctrlPr>
                <w:rPr>
                  <w:rFonts w:ascii="Cambria Math" w:hAnsi="Cambria Math"/>
                </w:rPr>
              </m:ctrlPr>
            </m:fPr>
            <m:num>
              <m:sSub>
                <m:sSubPr>
                  <m:ctrlPr>
                    <w:rPr>
                      <w:rFonts w:ascii="Cambria Math" w:hAnsi="Cambria Math"/>
                    </w:rPr>
                  </m:ctrlPr>
                </m:sSubPr>
                <m:e>
                  <m:r>
                    <w:rPr>
                      <w:rFonts w:ascii="Cambria Math" w:hAnsi="Cambria Math"/>
                      <w:sz w:val="16"/>
                      <w:szCs w:val="16"/>
                    </w:rPr>
                    <m:t>d</m:t>
                  </m:r>
                </m:e>
                <m:sub>
                  <m:r>
                    <w:rPr>
                      <w:rFonts w:ascii="Cambria Math" w:hAnsi="Cambria Math"/>
                      <w:sz w:val="16"/>
                      <w:szCs w:val="16"/>
                    </w:rPr>
                    <m:t>t,i</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i</m:t>
                  </m:r>
                </m:sub>
              </m:sSub>
            </m:num>
            <m:den>
              <m:sSub>
                <m:sSubPr>
                  <m:ctrlPr>
                    <w:rPr>
                      <w:rFonts w:ascii="Cambria Math" w:hAnsi="Cambria Math"/>
                    </w:rPr>
                  </m:ctrlPr>
                </m:sSubPr>
                <m:e>
                  <m:r>
                    <w:rPr>
                      <w:rFonts w:ascii="Cambria Math" w:hAnsi="Cambria Math"/>
                      <w:sz w:val="16"/>
                      <w:szCs w:val="16"/>
                    </w:rPr>
                    <m:t>s</m:t>
                  </m:r>
                </m:e>
                <m:sub>
                  <m:r>
                    <w:rPr>
                      <w:rFonts w:ascii="Cambria Math" w:hAnsi="Cambria Math"/>
                      <w:sz w:val="16"/>
                      <w:szCs w:val="16"/>
                    </w:rPr>
                    <m:t>i</m:t>
                  </m:r>
                </m:sub>
              </m:sSub>
            </m:den>
          </m:f>
          <m:r>
            <w:rPr>
              <w:rFonts w:ascii="Cambria Math" w:hAnsi="Cambria Math"/>
              <w:sz w:val="16"/>
              <w:szCs w:val="16"/>
            </w:rPr>
            <m:t>,</m:t>
          </m:r>
        </m:oMath>
      </m:oMathPara>
    </w:p>
    <w:p w14:paraId="2F767FE2" w14:textId="77777777" w:rsidR="003A55AF" w:rsidRDefault="00000000">
      <w:pPr>
        <w:pStyle w:val="BodyText"/>
      </w:pPr>
      <w:r>
        <w:t>where</w:t>
      </w:r>
    </w:p>
    <w:p w14:paraId="7014DADD" w14:textId="77777777" w:rsidR="003A55AF" w:rsidRDefault="00000000">
      <w:pPr>
        <w:pStyle w:val="equation"/>
      </w:pPr>
      <m:oMathPara>
        <m:oMathParaPr>
          <m:jc m:val="center"/>
        </m:oMathParaP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i</m:t>
              </m:r>
            </m:sub>
          </m:sSub>
          <m:r>
            <w:rPr>
              <w:rFonts w:ascii="Cambria Math" w:hAnsi="Cambria Math"/>
              <w:sz w:val="16"/>
              <w:szCs w:val="16"/>
            </w:rPr>
            <m:t>=</m:t>
          </m:r>
          <m:r>
            <m:rPr>
              <m:sty m:val="p"/>
            </m:rPr>
            <w:rPr>
              <w:rFonts w:ascii="Cambria Math" w:hAnsi="Cambria Math"/>
              <w:sz w:val="16"/>
              <w:szCs w:val="16"/>
            </w:rPr>
            <m:t>median</m:t>
          </m:r>
          <m:r>
            <w:rPr>
              <w:rFonts w:ascii="Cambria Math" w:hAnsi="Cambria Math"/>
              <w:sz w:val="16"/>
              <w:szCs w:val="16"/>
            </w:rPr>
            <m:t>(</m:t>
          </m:r>
          <m:sSub>
            <m:sSubPr>
              <m:ctrlPr>
                <w:rPr>
                  <w:rFonts w:ascii="Cambria Math" w:hAnsi="Cambria Math"/>
                </w:rPr>
              </m:ctrlPr>
            </m:sSubPr>
            <m:e>
              <m:r>
                <w:rPr>
                  <w:rFonts w:ascii="Cambria Math" w:hAnsi="Cambria Math"/>
                  <w:sz w:val="16"/>
                  <w:szCs w:val="16"/>
                </w:rPr>
                <m:t>d</m:t>
              </m:r>
            </m:e>
            <m:sub>
              <m:r>
                <m:rPr>
                  <m:sty m:val="p"/>
                </m:rPr>
                <w:rPr>
                  <w:rFonts w:ascii="Cambria Math" w:hAnsi="Cambria Math"/>
                  <w:sz w:val="16"/>
                  <w:szCs w:val="16"/>
                </w:rPr>
                <m:t>train</m:t>
              </m:r>
              <m:r>
                <w:rPr>
                  <w:rFonts w:ascii="Cambria Math" w:hAnsi="Cambria Math"/>
                  <w:sz w:val="16"/>
                  <w:szCs w:val="16"/>
                </w:rPr>
                <m:t>,i</m:t>
              </m:r>
            </m:sub>
          </m:sSub>
          <m:r>
            <w:rPr>
              <w:rFonts w:ascii="Cambria Math" w:hAnsi="Cambria Math"/>
              <w:sz w:val="16"/>
              <w:szCs w:val="16"/>
            </w:rPr>
            <m:t>)</m:t>
          </m:r>
        </m:oMath>
      </m:oMathPara>
    </w:p>
    <w:p w14:paraId="6B1D415A" w14:textId="77777777" w:rsidR="003A55AF" w:rsidRDefault="00000000">
      <w:pPr>
        <w:pStyle w:val="BodyText"/>
      </w:pPr>
      <w:r>
        <w:t>and</w:t>
      </w:r>
    </w:p>
    <w:p w14:paraId="5C60F748" w14:textId="77777777" w:rsidR="003A55AF" w:rsidRDefault="00000000">
      <w:pPr>
        <w:pStyle w:val="equation"/>
      </w:pPr>
      <m:oMathPara>
        <m:oMathParaPr>
          <m:jc m:val="center"/>
        </m:oMathParaPr>
        <m:oMath>
          <m:sSub>
            <m:sSubPr>
              <m:ctrlPr>
                <w:rPr>
                  <w:rFonts w:ascii="Cambria Math" w:hAnsi="Cambria Math"/>
                </w:rPr>
              </m:ctrlPr>
            </m:sSubPr>
            <m:e>
              <m:r>
                <w:rPr>
                  <w:rFonts w:ascii="Cambria Math" w:hAnsi="Cambria Math"/>
                  <w:sz w:val="16"/>
                  <w:szCs w:val="16"/>
                </w:rPr>
                <m:t>s</m:t>
              </m:r>
            </m:e>
            <m:sub>
              <m:r>
                <w:rPr>
                  <w:rFonts w:ascii="Cambria Math" w:hAnsi="Cambria Math"/>
                  <w:sz w:val="16"/>
                  <w:szCs w:val="16"/>
                </w:rPr>
                <m:t>i</m:t>
              </m:r>
            </m:sub>
          </m:sSub>
          <m:r>
            <w:rPr>
              <w:rFonts w:ascii="Cambria Math" w:hAnsi="Cambria Math"/>
              <w:sz w:val="16"/>
              <w:szCs w:val="16"/>
            </w:rPr>
            <m:t>=1.4826</m:t>
          </m:r>
          <m:r>
            <m:rPr>
              <m:sty m:val="p"/>
            </m:rPr>
            <w:rPr>
              <w:rFonts w:ascii="Cambria Math" w:hAnsi="Cambria Math"/>
              <w:sz w:val="16"/>
              <w:szCs w:val="16"/>
            </w:rPr>
            <m:t>MAD</m:t>
          </m:r>
          <m:r>
            <w:rPr>
              <w:rFonts w:ascii="Cambria Math" w:hAnsi="Cambria Math"/>
              <w:sz w:val="16"/>
              <w:szCs w:val="16"/>
            </w:rPr>
            <m:t>(</m:t>
          </m:r>
          <m:sSub>
            <m:sSubPr>
              <m:ctrlPr>
                <w:rPr>
                  <w:rFonts w:ascii="Cambria Math" w:hAnsi="Cambria Math"/>
                </w:rPr>
              </m:ctrlPr>
            </m:sSubPr>
            <m:e>
              <m:r>
                <w:rPr>
                  <w:rFonts w:ascii="Cambria Math" w:hAnsi="Cambria Math"/>
                  <w:sz w:val="16"/>
                  <w:szCs w:val="16"/>
                </w:rPr>
                <m:t>d</m:t>
              </m:r>
            </m:e>
            <m:sub>
              <m:r>
                <m:rPr>
                  <m:sty m:val="p"/>
                </m:rPr>
                <w:rPr>
                  <w:rFonts w:ascii="Cambria Math" w:hAnsi="Cambria Math"/>
                  <w:sz w:val="16"/>
                  <w:szCs w:val="16"/>
                </w:rPr>
                <m:t>train</m:t>
              </m:r>
              <m:r>
                <w:rPr>
                  <w:rFonts w:ascii="Cambria Math" w:hAnsi="Cambria Math"/>
                  <w:sz w:val="16"/>
                  <w:szCs w:val="16"/>
                </w:rPr>
                <m:t>,i</m:t>
              </m:r>
            </m:sub>
          </m:sSub>
          <m:r>
            <w:rPr>
              <w:rFonts w:ascii="Cambria Math" w:hAnsi="Cambria Math"/>
              <w:sz w:val="16"/>
              <w:szCs w:val="16"/>
            </w:rPr>
            <m:t>).</m:t>
          </m:r>
        </m:oMath>
      </m:oMathPara>
    </w:p>
    <w:p w14:paraId="0EFB5A0E" w14:textId="77777777" w:rsidR="003A55AF" w:rsidRDefault="00000000">
      <w:pPr>
        <w:pStyle w:val="BodyText"/>
      </w:pPr>
      <w:r>
        <w:rPr>
          <w:b/>
        </w:rPr>
        <w:t>In plain words.</w:t>
      </w:r>
      <w:r>
        <w:t xml:space="preserve"> Levels are converted to changes and placed on a robust common scale. Transform type, centre, and scale are estimated on training observations only. Forecast levels are reconstructed by cumulative summation or exponentiation from the final observed level.</w:t>
      </w:r>
    </w:p>
    <w:p w14:paraId="5BBA76D8" w14:textId="77777777" w:rsidR="003A55AF" w:rsidRDefault="00000000">
      <w:pPr>
        <w:pStyle w:val="Heading2"/>
      </w:pPr>
      <w:r>
        <w:t>Stability by construction</w:t>
      </w:r>
    </w:p>
    <w:p w14:paraId="1B6E194F" w14:textId="77777777" w:rsidR="003A55AF" w:rsidRDefault="00000000">
      <w:pPr>
        <w:pStyle w:val="BodyText"/>
      </w:pPr>
      <w:r>
        <w:t>For linear pairwise entries grouped by integer lag,</w:t>
      </w:r>
    </w:p>
    <w:p w14:paraId="69CDA132" w14:textId="77777777" w:rsidR="003A55AF" w:rsidRDefault="00000000">
      <w:pPr>
        <w:pStyle w:val="equation"/>
      </w:pPr>
      <m:oMathPara>
        <m:oMathParaPr>
          <m:jc m:val="center"/>
        </m:oMathParaPr>
        <m:oMath>
          <m:r>
            <w:rPr>
              <w:rFonts w:ascii="Cambria Math" w:hAnsi="Cambria Math"/>
              <w:sz w:val="16"/>
              <w:szCs w:val="16"/>
            </w:rPr>
            <m:t>M(t+1)=</m:t>
          </m:r>
          <m:sSub>
            <m:sSubPr>
              <m:ctrlPr>
                <w:rPr>
                  <w:rFonts w:ascii="Cambria Math" w:hAnsi="Cambria Math"/>
                </w:rPr>
              </m:ctrlPr>
            </m:sSubPr>
            <m:e>
              <m:r>
                <w:rPr>
                  <w:rFonts w:ascii="Cambria Math" w:hAnsi="Cambria Math"/>
                  <w:sz w:val="16"/>
                  <w:szCs w:val="16"/>
                </w:rPr>
                <m:t>A</m:t>
              </m:r>
            </m:e>
            <m:sub>
              <m:r>
                <w:rPr>
                  <w:rFonts w:ascii="Cambria Math" w:hAnsi="Cambria Math"/>
                  <w:sz w:val="16"/>
                  <w:szCs w:val="16"/>
                </w:rPr>
                <m:t>0</m:t>
              </m:r>
            </m:sub>
          </m:sSub>
          <m:r>
            <w:rPr>
              <w:rFonts w:ascii="Cambria Math" w:hAnsi="Cambria Math"/>
              <w:sz w:val="16"/>
              <w:szCs w:val="16"/>
            </w:rPr>
            <m:t>M(t)+</m:t>
          </m:r>
          <m:sSub>
            <m:sSubPr>
              <m:ctrlPr>
                <w:rPr>
                  <w:rFonts w:ascii="Cambria Math" w:hAnsi="Cambria Math"/>
                </w:rPr>
              </m:ctrlPr>
            </m:sSubPr>
            <m:e>
              <m:r>
                <w:rPr>
                  <w:rFonts w:ascii="Cambria Math" w:hAnsi="Cambria Math"/>
                  <w:sz w:val="16"/>
                  <w:szCs w:val="16"/>
                </w:rPr>
                <m:t>A</m:t>
              </m:r>
            </m:e>
            <m:sub>
              <m:r>
                <w:rPr>
                  <w:rFonts w:ascii="Cambria Math" w:hAnsi="Cambria Math"/>
                  <w:sz w:val="16"/>
                  <w:szCs w:val="16"/>
                </w:rPr>
                <m:t>1</m:t>
              </m:r>
            </m:sub>
          </m:sSub>
          <m:r>
            <w:rPr>
              <w:rFonts w:ascii="Cambria Math" w:hAnsi="Cambria Math"/>
              <w:sz w:val="16"/>
              <w:szCs w:val="16"/>
            </w:rPr>
            <m:t>M(t-1)+…+</m:t>
          </m:r>
          <m:sSub>
            <m:sSubPr>
              <m:ctrlPr>
                <w:rPr>
                  <w:rFonts w:ascii="Cambria Math" w:hAnsi="Cambria Math"/>
                </w:rPr>
              </m:ctrlPr>
            </m:sSubPr>
            <m:e>
              <m:r>
                <w:rPr>
                  <w:rFonts w:ascii="Cambria Math" w:hAnsi="Cambria Math"/>
                  <w:sz w:val="16"/>
                  <w:szCs w:val="16"/>
                </w:rPr>
                <m:t>A</m:t>
              </m:r>
            </m:e>
            <m:sub>
              <m:r>
                <w:rPr>
                  <w:rFonts w:ascii="Cambria Math" w:hAnsi="Cambria Math"/>
                  <w:sz w:val="16"/>
                  <w:szCs w:val="16"/>
                </w:rPr>
                <m:t>p</m:t>
              </m:r>
            </m:sub>
          </m:sSub>
          <m:r>
            <w:rPr>
              <w:rFonts w:ascii="Cambria Math" w:hAnsi="Cambria Math"/>
              <w:sz w:val="16"/>
              <w:szCs w:val="16"/>
            </w:rPr>
            <m:t>M(t-p)+b.</m:t>
          </m:r>
        </m:oMath>
      </m:oMathPara>
    </w:p>
    <w:p w14:paraId="10ADEF88" w14:textId="77777777" w:rsidR="003A55AF" w:rsidRDefault="00000000">
      <w:pPr>
        <w:pStyle w:val="BodyText"/>
      </w:pPr>
      <w:r>
        <w:t>Let</w:t>
      </w:r>
    </w:p>
    <w:p w14:paraId="7BCAEB40" w14:textId="77777777" w:rsidR="003A55AF" w:rsidRDefault="00000000">
      <w:pPr>
        <w:pStyle w:val="equation"/>
      </w:pPr>
      <m:oMathPara>
        <m:oMathParaPr>
          <m:jc m:val="center"/>
        </m:oMathParaPr>
        <m:oMath>
          <m:sSub>
            <m:sSubPr>
              <m:ctrlPr>
                <w:rPr>
                  <w:rFonts w:ascii="Cambria Math" w:hAnsi="Cambria Math"/>
                </w:rPr>
              </m:ctrlPr>
            </m:sSubPr>
            <m:e>
              <m:r>
                <w:rPr>
                  <w:rFonts w:ascii="Cambria Math" w:hAnsi="Cambria Math"/>
                  <w:sz w:val="16"/>
                  <w:szCs w:val="16"/>
                </w:rPr>
                <m:t>A</m:t>
              </m:r>
            </m:e>
            <m:sub>
              <m:r>
                <w:rPr>
                  <w:rFonts w:ascii="Cambria Math" w:hAnsi="Cambria Math"/>
                  <w:sz w:val="16"/>
                  <w:szCs w:val="16"/>
                </w:rPr>
                <m:t>c</m:t>
              </m:r>
            </m:sub>
          </m:sSub>
          <m:r>
            <w:rPr>
              <w:rFonts w:ascii="Cambria Math" w:hAnsi="Cambria Math"/>
              <w:sz w:val="16"/>
              <w:szCs w:val="16"/>
            </w:rPr>
            <m:t>=</m:t>
          </m:r>
          <m:r>
            <m:rPr>
              <m:sty m:val="p"/>
            </m:rPr>
            <w:rPr>
              <w:rFonts w:ascii="Cambria Math" w:hAnsi="Cambria Math"/>
              <w:sz w:val="16"/>
              <w:szCs w:val="16"/>
            </w:rPr>
            <m:t>Companion</m:t>
          </m:r>
          <m:r>
            <w:rPr>
              <w:rFonts w:ascii="Cambria Math" w:hAnsi="Cambria Math"/>
              <w:sz w:val="16"/>
              <w:szCs w:val="16"/>
            </w:rPr>
            <m:t>(</m:t>
          </m:r>
          <m:sSub>
            <m:sSubPr>
              <m:ctrlPr>
                <w:rPr>
                  <w:rFonts w:ascii="Cambria Math" w:hAnsi="Cambria Math"/>
                </w:rPr>
              </m:ctrlPr>
            </m:sSubPr>
            <m:e>
              <m:r>
                <w:rPr>
                  <w:rFonts w:ascii="Cambria Math" w:hAnsi="Cambria Math"/>
                  <w:sz w:val="16"/>
                  <w:szCs w:val="16"/>
                </w:rPr>
                <m:t>A</m:t>
              </m:r>
            </m:e>
            <m:sub>
              <m:r>
                <w:rPr>
                  <w:rFonts w:ascii="Cambria Math" w:hAnsi="Cambria Math"/>
                  <w:sz w:val="16"/>
                  <w:szCs w:val="16"/>
                </w:rPr>
                <m:t>0</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A</m:t>
              </m:r>
            </m:e>
            <m:sub>
              <m:r>
                <w:rPr>
                  <w:rFonts w:ascii="Cambria Math" w:hAnsi="Cambria Math"/>
                  <w:sz w:val="16"/>
                  <w:szCs w:val="16"/>
                </w:rPr>
                <m:t>1</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A</m:t>
              </m:r>
            </m:e>
            <m:sub>
              <m:r>
                <w:rPr>
                  <w:rFonts w:ascii="Cambria Math" w:hAnsi="Cambria Math"/>
                  <w:sz w:val="16"/>
                  <w:szCs w:val="16"/>
                </w:rPr>
                <m:t>p</m:t>
              </m:r>
            </m:sub>
          </m:sSub>
          <m:r>
            <w:rPr>
              <w:rFonts w:ascii="Cambria Math" w:hAnsi="Cambria Math"/>
              <w:sz w:val="16"/>
              <w:szCs w:val="16"/>
            </w:rPr>
            <m:t>).</m:t>
          </m:r>
        </m:oMath>
      </m:oMathPara>
    </w:p>
    <w:p w14:paraId="32AFF4F4" w14:textId="77777777" w:rsidR="003A55AF" w:rsidRDefault="00000000">
      <w:pPr>
        <w:pStyle w:val="BodyText"/>
      </w:pPr>
      <w:r>
        <w:t>The linear recurrence is asymptotically stable when</w:t>
      </w:r>
    </w:p>
    <w:p w14:paraId="2355147A" w14:textId="77777777" w:rsidR="003A55AF" w:rsidRDefault="00000000">
      <w:pPr>
        <w:pStyle w:val="equation"/>
      </w:pPr>
      <m:oMathPara>
        <m:oMathParaPr>
          <m:jc m:val="center"/>
        </m:oMathParaPr>
        <m:oMath>
          <m:r>
            <w:rPr>
              <w:rFonts w:ascii="Cambria Math" w:hAnsi="Cambria Math"/>
              <w:sz w:val="16"/>
              <w:szCs w:val="16"/>
            </w:rPr>
            <m:t>ρ(</m:t>
          </m:r>
          <m:sSub>
            <m:sSubPr>
              <m:ctrlPr>
                <w:rPr>
                  <w:rFonts w:ascii="Cambria Math" w:hAnsi="Cambria Math"/>
                </w:rPr>
              </m:ctrlPr>
            </m:sSubPr>
            <m:e>
              <m:r>
                <w:rPr>
                  <w:rFonts w:ascii="Cambria Math" w:hAnsi="Cambria Math"/>
                  <w:sz w:val="16"/>
                  <w:szCs w:val="16"/>
                </w:rPr>
                <m:t>A</m:t>
              </m:r>
            </m:e>
            <m:sub>
              <m:r>
                <w:rPr>
                  <w:rFonts w:ascii="Cambria Math" w:hAnsi="Cambria Math"/>
                  <w:sz w:val="16"/>
                  <w:szCs w:val="16"/>
                </w:rPr>
                <m:t>c</m:t>
              </m:r>
            </m:sub>
          </m:sSub>
          <m:r>
            <w:rPr>
              <w:rFonts w:ascii="Cambria Math" w:hAnsi="Cambria Math"/>
              <w:sz w:val="16"/>
              <w:szCs w:val="16"/>
            </w:rPr>
            <m:t>)&lt;1.</m:t>
          </m:r>
        </m:oMath>
      </m:oMathPara>
    </w:p>
    <w:p w14:paraId="11FF4C03" w14:textId="77777777" w:rsidR="003A55AF" w:rsidRDefault="00000000">
      <w:pPr>
        <w:pStyle w:val="BodyText"/>
      </w:pPr>
      <w:r>
        <w:t>The global gain is reduced until</w:t>
      </w:r>
    </w:p>
    <w:p w14:paraId="0A13D1B4" w14:textId="77777777" w:rsidR="003A55AF" w:rsidRDefault="00000000">
      <w:pPr>
        <w:pStyle w:val="equation"/>
      </w:pPr>
      <m:oMathPara>
        <m:oMathParaPr>
          <m:jc m:val="center"/>
        </m:oMathParaPr>
        <m:oMath>
          <m:r>
            <w:rPr>
              <w:rFonts w:ascii="Cambria Math" w:hAnsi="Cambria Math"/>
              <w:sz w:val="16"/>
              <w:szCs w:val="16"/>
            </w:rPr>
            <m:t>ρ(</m:t>
          </m:r>
          <m:sSub>
            <m:sSubPr>
              <m:ctrlPr>
                <w:rPr>
                  <w:rFonts w:ascii="Cambria Math" w:hAnsi="Cambria Math"/>
                </w:rPr>
              </m:ctrlPr>
            </m:sSubPr>
            <m:e>
              <m:r>
                <w:rPr>
                  <w:rFonts w:ascii="Cambria Math" w:hAnsi="Cambria Math"/>
                  <w:sz w:val="16"/>
                  <w:szCs w:val="16"/>
                </w:rPr>
                <m:t>A</m:t>
              </m:r>
            </m:e>
            <m:sub>
              <m:r>
                <w:rPr>
                  <w:rFonts w:ascii="Cambria Math" w:hAnsi="Cambria Math"/>
                  <w:sz w:val="16"/>
                  <w:szCs w:val="16"/>
                </w:rPr>
                <m:t>c</m:t>
              </m:r>
            </m:sub>
          </m:sSub>
          <m:r>
            <w:rPr>
              <w:rFonts w:ascii="Cambria Math" w:hAnsi="Cambria Math"/>
              <w:sz w:val="16"/>
              <w:szCs w:val="16"/>
            </w:rPr>
            <m:t>)≤0.98.</m:t>
          </m:r>
        </m:oMath>
      </m:oMathPara>
    </w:p>
    <w:p w14:paraId="3560AC3A" w14:textId="77777777" w:rsidR="003A55AF" w:rsidRDefault="00000000">
      <w:pPr>
        <w:pStyle w:val="BodyText"/>
      </w:pPr>
      <w:r>
        <w:rPr>
          <w:b/>
        </w:rPr>
        <w:t>In plain words.</w:t>
      </w:r>
      <w:r>
        <w:t xml:space="preserve"> The stability calculation includes every fitted linear lag. A spectral radius below one guarantees eventual decay of the homogeneous linear trajectory, but not a decrease at every step. Nonnormal systems may amplify temporarily, so the largest induced two-norm over the first 100 matrix powers is reported separately. Product and formula entries remain uncertified unless a valid domain bound is supplied.</w:t>
      </w:r>
    </w:p>
    <w:p w14:paraId="58BBEBA2" w14:textId="77777777" w:rsidR="003A55AF" w:rsidRDefault="00000000">
      <w:pPr>
        <w:pStyle w:val="Heading2"/>
      </w:pPr>
      <w:r>
        <w:t>Uncertainty</w:t>
      </w:r>
    </w:p>
    <w:p w14:paraId="3C4B9964" w14:textId="77777777" w:rsidR="003A55AF" w:rsidRDefault="00000000">
      <w:pPr>
        <w:pStyle w:val="BodyText"/>
      </w:pPr>
      <w:r>
        <w:t xml:space="preserve">For variable </w:t>
      </w:r>
      <m:oMath>
        <m:r>
          <w:rPr>
            <w:rFonts w:ascii="Cambria Math" w:hAnsi="Cambria Math"/>
            <w:sz w:val="16"/>
            <w:szCs w:val="16"/>
          </w:rPr>
          <m:t>i</m:t>
        </m:r>
      </m:oMath>
      <w:r>
        <w:t xml:space="preserve">, horizon </w:t>
      </w:r>
      <m:oMath>
        <m:r>
          <w:rPr>
            <w:rFonts w:ascii="Cambria Math" w:hAnsi="Cambria Math"/>
            <w:sz w:val="16"/>
            <w:szCs w:val="16"/>
          </w:rPr>
          <m:t>h</m:t>
        </m:r>
      </m:oMath>
      <w:r>
        <w:t xml:space="preserve">, and nominal coverage </w:t>
      </w:r>
      <m:oMath>
        <m:r>
          <w:rPr>
            <w:rFonts w:ascii="Cambria Math" w:hAnsi="Cambria Math"/>
            <w:sz w:val="16"/>
            <w:szCs w:val="16"/>
          </w:rPr>
          <m:t>γ</m:t>
        </m:r>
      </m:oMath>
      <w:r>
        <w:t>, the chronological calibration errors define</w:t>
      </w:r>
    </w:p>
    <w:p w14:paraId="3B486E9D" w14:textId="77777777" w:rsidR="003A55AF" w:rsidRDefault="00000000">
      <w:pPr>
        <w:pStyle w:val="equation"/>
      </w:pPr>
      <m:oMathPara>
        <m:oMathParaPr>
          <m:jc m:val="center"/>
        </m:oMathParaP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i,h,γ</m:t>
              </m:r>
            </m:sub>
          </m:sSub>
          <m:r>
            <w:rPr>
              <w:rFonts w:ascii="Cambria Math" w:hAnsi="Cambria Math"/>
              <w:sz w:val="16"/>
              <w:szCs w:val="16"/>
            </w:rPr>
            <m:t>=</m:t>
          </m:r>
          <m:sSub>
            <m:sSubPr>
              <m:ctrlPr>
                <w:rPr>
                  <w:rFonts w:ascii="Cambria Math" w:hAnsi="Cambria Math"/>
                </w:rPr>
              </m:ctrlPr>
            </m:sSubPr>
            <m:e>
              <m:r>
                <m:rPr>
                  <m:sty m:val="p"/>
                </m:rPr>
                <w:rPr>
                  <w:rFonts w:ascii="Cambria Math" w:hAnsi="Cambria Math"/>
                  <w:sz w:val="16"/>
                  <w:szCs w:val="16"/>
                </w:rPr>
                <m:t>Quantile</m:t>
              </m:r>
            </m:e>
            <m:sub>
              <m:r>
                <w:rPr>
                  <w:rFonts w:ascii="Cambria Math" w:hAnsi="Cambria Math"/>
                  <w:sz w:val="16"/>
                  <w:szCs w:val="16"/>
                </w:rPr>
                <m:t>γ</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sz w:val="16"/>
                          <w:szCs w:val="16"/>
                        </w:rPr>
                        <m:t>z</m:t>
                      </m:r>
                    </m:e>
                    <m:sub>
                      <m:r>
                        <w:rPr>
                          <w:rFonts w:ascii="Cambria Math" w:hAnsi="Cambria Math"/>
                          <w:sz w:val="16"/>
                          <w:szCs w:val="16"/>
                        </w:rPr>
                        <m:t>i,t+h</m:t>
                      </m:r>
                    </m:sub>
                  </m:sSub>
                  <m:r>
                    <w:rPr>
                      <w:rFonts w:ascii="Cambria Math" w:hAnsi="Cambria Math"/>
                      <w:sz w:val="16"/>
                      <w:szCs w:val="16"/>
                    </w:rPr>
                    <m: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z</m:t>
                          </m:r>
                        </m:e>
                      </m:acc>
                    </m:e>
                    <m:sub>
                      <m:r>
                        <w:rPr>
                          <w:rFonts w:ascii="Cambria Math" w:hAnsi="Cambria Math"/>
                          <w:sz w:val="16"/>
                          <w:szCs w:val="16"/>
                        </w:rPr>
                        <m:t>i,t+h</m:t>
                      </m:r>
                    </m:sub>
                  </m:sSub>
                </m:e>
              </m:d>
            </m:e>
          </m:d>
          <m:r>
            <w:rPr>
              <w:rFonts w:ascii="Cambria Math" w:hAnsi="Cambria Math"/>
              <w:sz w:val="16"/>
              <w:szCs w:val="16"/>
            </w:rPr>
            <m:t>.</m:t>
          </m:r>
        </m:oMath>
      </m:oMathPara>
    </w:p>
    <w:p w14:paraId="64C85C58" w14:textId="77777777" w:rsidR="003A55AF" w:rsidRDefault="00000000">
      <w:pPr>
        <w:pStyle w:val="BodyText"/>
      </w:pPr>
      <w:r>
        <w:t>The predictive interval is</w:t>
      </w:r>
    </w:p>
    <w:p w14:paraId="758B779A" w14:textId="77777777" w:rsidR="003A55AF" w:rsidRDefault="00000000">
      <w:pPr>
        <w:pStyle w:val="equation"/>
      </w:pPr>
      <m:oMathPara>
        <m:oMathParaPr>
          <m:jc m:val="center"/>
        </m:oMathParaP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sz w:val="16"/>
                          <w:szCs w:val="16"/>
                        </w:rPr>
                        <m:t>z</m:t>
                      </m:r>
                    </m:e>
                  </m:acc>
                </m:e>
                <m:sub>
                  <m:r>
                    <w:rPr>
                      <w:rFonts w:ascii="Cambria Math" w:hAnsi="Cambria Math"/>
                      <w:sz w:val="16"/>
                      <w:szCs w:val="16"/>
                    </w:rPr>
                    <m:t>i,t+h</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i,h,γ</m:t>
                  </m:r>
                </m:sub>
              </m:sSub>
              <m:r>
                <w:rPr>
                  <w:rFonts w:ascii="Cambria Math" w:hAnsi="Cambria Math"/>
                  <w:sz w:val="16"/>
                  <w:szCs w:val="16"/>
                </w:rPr>
                <m: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z</m:t>
                      </m:r>
                    </m:e>
                  </m:acc>
                </m:e>
                <m:sub>
                  <m:r>
                    <w:rPr>
                      <w:rFonts w:ascii="Cambria Math" w:hAnsi="Cambria Math"/>
                      <w:sz w:val="16"/>
                      <w:szCs w:val="16"/>
                    </w:rPr>
                    <m:t>i,t+h</m:t>
                  </m:r>
                </m:sub>
              </m:sSub>
              <m:r>
                <w:rPr>
                  <w:rFonts w:ascii="Cambria Math" w:hAnsi="Cambria Math"/>
                  <w:sz w:val="16"/>
                  <w:szCs w:val="16"/>
                </w:rPr>
                <m:t>+</m:t>
              </m:r>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i,h,γ</m:t>
                  </m:r>
                </m:sub>
              </m:sSub>
            </m:e>
          </m:d>
          <m:r>
            <w:rPr>
              <w:rFonts w:ascii="Cambria Math" w:hAnsi="Cambria Math"/>
              <w:sz w:val="16"/>
              <w:szCs w:val="16"/>
            </w:rPr>
            <m:t>.</m:t>
          </m:r>
        </m:oMath>
      </m:oMathPara>
    </w:p>
    <w:p w14:paraId="027854C5" w14:textId="77777777" w:rsidR="003A55AF" w:rsidRDefault="00000000">
      <w:pPr>
        <w:pStyle w:val="BodyText"/>
      </w:pPr>
      <w:r>
        <w:rPr>
          <w:b/>
        </w:rPr>
        <w:t>In plain words.</w:t>
      </w:r>
      <w:r>
        <w:t xml:space="preserve"> Recursive errors from the calibration period determine interval width. Coverage and Winkler scores are measured only on the final test period. Because observations are temporally dependent, empirical coverage is reported rather than assumed.</w:t>
      </w:r>
    </w:p>
    <w:p w14:paraId="5D58CCC7" w14:textId="77777777" w:rsidR="003A55AF" w:rsidRDefault="00000000">
      <w:pPr>
        <w:pStyle w:val="Heading2"/>
      </w:pPr>
      <w:r>
        <w:t>What is estimated, and what is declared</w:t>
      </w:r>
    </w:p>
    <w:p w14:paraId="32B4C583" w14:textId="77777777" w:rsidR="003A55AF" w:rsidRDefault="00000000">
      <w:pPr>
        <w:pStyle w:val="Caption"/>
      </w:pPr>
      <w:r>
        <w:rPr>
          <w:i w:val="0"/>
        </w:rPr>
        <w:t>Table 3. Estimated and declared QNTUM components.</w:t>
      </w:r>
    </w:p>
    <w:tbl>
      <w:tblPr>
        <w:tblStyle w:val="PlainTable2"/>
        <w:tblW w:w="0pt" w:type="auto"/>
        <w:tblLook w:firstRow="1" w:lastRow="0" w:firstColumn="1" w:lastColumn="0" w:noHBand="0" w:noVBand="1"/>
      </w:tblPr>
      <w:tblGrid>
        <w:gridCol w:w="1687"/>
        <w:gridCol w:w="1573"/>
        <w:gridCol w:w="1606"/>
      </w:tblGrid>
      <w:tr w:rsidR="003A55AF" w14:paraId="14381CCB" w14:textId="77777777" w:rsidTr="003A55AF">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68.20pt" w:type="dxa"/>
          </w:tcPr>
          <w:p w14:paraId="5C0A0D8D" w14:textId="77777777" w:rsidR="003A55AF" w:rsidRDefault="00000000">
            <w:r>
              <w:rPr>
                <w:sz w:val="16"/>
                <w:szCs w:val="16"/>
              </w:rPr>
              <w:t>Component</w:t>
            </w:r>
          </w:p>
        </w:tc>
        <w:tc>
          <w:tcPr>
            <w:tcW w:w="168.20pt" w:type="dxa"/>
          </w:tcPr>
          <w:p w14:paraId="08B6C7B2"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Status</w:t>
            </w:r>
          </w:p>
        </w:tc>
        <w:tc>
          <w:tcPr>
            <w:tcW w:w="168.20pt" w:type="dxa"/>
          </w:tcPr>
          <w:p w14:paraId="6717B999"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Source</w:t>
            </w:r>
          </w:p>
        </w:tc>
      </w:tr>
      <w:tr w:rsidR="003A55AF" w14:paraId="3B844647"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68.20pt" w:type="dxa"/>
          </w:tcPr>
          <w:p w14:paraId="47B5550A" w14:textId="77777777" w:rsidR="003A55AF" w:rsidRDefault="00000000">
            <w:r>
              <w:rPr>
                <w:b w:val="0"/>
                <w:sz w:val="16"/>
                <w:szCs w:val="16"/>
              </w:rPr>
              <w:t>Fixed relationships</w:t>
            </w:r>
          </w:p>
        </w:tc>
        <w:tc>
          <w:tcPr>
            <w:tcW w:w="168.20pt" w:type="dxa"/>
          </w:tcPr>
          <w:p w14:paraId="128C2A71"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Declared</w:t>
            </w:r>
          </w:p>
        </w:tc>
        <w:tc>
          <w:tcPr>
            <w:tcW w:w="168.20pt" w:type="dxa"/>
          </w:tcPr>
          <w:p w14:paraId="2644E14E"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Expert coefficient</w:t>
            </w:r>
          </w:p>
        </w:tc>
      </w:tr>
      <w:tr w:rsidR="003A55AF" w14:paraId="548B6D02" w14:textId="77777777" w:rsidTr="003A55AF">
        <w:tc>
          <w:tcPr>
            <w:cnfStyle w:firstRow="0" w:lastRow="0" w:firstColumn="1" w:lastColumn="0" w:oddVBand="0" w:evenVBand="0" w:oddHBand="0" w:evenHBand="0" w:firstRowFirstColumn="0" w:firstRowLastColumn="0" w:lastRowFirstColumn="0" w:lastRowLastColumn="0"/>
            <w:tcW w:w="168.20pt" w:type="dxa"/>
          </w:tcPr>
          <w:p w14:paraId="5C88DC92" w14:textId="77777777" w:rsidR="003A55AF" w:rsidRDefault="00000000">
            <w:r>
              <w:rPr>
                <w:b w:val="0"/>
                <w:sz w:val="16"/>
                <w:szCs w:val="16"/>
              </w:rPr>
              <w:t>Signs, bounds, and exclusions</w:t>
            </w:r>
          </w:p>
        </w:tc>
        <w:tc>
          <w:tcPr>
            <w:tcW w:w="168.20pt" w:type="dxa"/>
          </w:tcPr>
          <w:p w14:paraId="0982B186"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Declared</w:t>
            </w:r>
          </w:p>
        </w:tc>
        <w:tc>
          <w:tcPr>
            <w:tcW w:w="168.20pt" w:type="dxa"/>
          </w:tcPr>
          <w:p w14:paraId="75E1050B"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Expert constraints</w:t>
            </w:r>
          </w:p>
        </w:tc>
      </w:tr>
      <w:tr w:rsidR="003A55AF" w14:paraId="08E00A5C"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68.20pt" w:type="dxa"/>
          </w:tcPr>
          <w:p w14:paraId="03E1C2DE" w14:textId="77777777" w:rsidR="003A55AF" w:rsidRDefault="00000000">
            <w:r>
              <w:rPr>
                <w:b w:val="0"/>
                <w:sz w:val="16"/>
                <w:szCs w:val="16"/>
              </w:rPr>
              <w:t>Free relationship weights</w:t>
            </w:r>
          </w:p>
        </w:tc>
        <w:tc>
          <w:tcPr>
            <w:tcW w:w="168.20pt" w:type="dxa"/>
          </w:tcPr>
          <w:p w14:paraId="06FD69A9"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Estimated</w:t>
            </w:r>
          </w:p>
        </w:tc>
        <w:tc>
          <w:tcPr>
            <w:tcW w:w="168.20pt" w:type="dxa"/>
          </w:tcPr>
          <w:p w14:paraId="42CB35E9"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Joint sparse fit</w:t>
            </w:r>
          </w:p>
        </w:tc>
      </w:tr>
      <w:tr w:rsidR="003A55AF" w14:paraId="3DC45BEB" w14:textId="77777777" w:rsidTr="003A55AF">
        <w:tc>
          <w:tcPr>
            <w:cnfStyle w:firstRow="0" w:lastRow="0" w:firstColumn="1" w:lastColumn="0" w:oddVBand="0" w:evenVBand="0" w:oddHBand="0" w:evenHBand="0" w:firstRowFirstColumn="0" w:firstRowLastColumn="0" w:lastRowFirstColumn="0" w:lastRowLastColumn="0"/>
            <w:tcW w:w="168.20pt" w:type="dxa"/>
          </w:tcPr>
          <w:p w14:paraId="15FA0F51" w14:textId="77777777" w:rsidR="003A55AF" w:rsidRDefault="00000000">
            <w:r>
              <w:rPr>
                <w:b w:val="0"/>
                <w:sz w:val="16"/>
                <w:szCs w:val="16"/>
              </w:rPr>
              <w:t>Intercepts and self-memory</w:t>
            </w:r>
          </w:p>
        </w:tc>
        <w:tc>
          <w:tcPr>
            <w:tcW w:w="168.20pt" w:type="dxa"/>
          </w:tcPr>
          <w:p w14:paraId="352A4A21"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Estimated</w:t>
            </w:r>
          </w:p>
        </w:tc>
        <w:tc>
          <w:tcPr>
            <w:tcW w:w="168.20pt" w:type="dxa"/>
          </w:tcPr>
          <w:p w14:paraId="326A9434"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Training data</w:t>
            </w:r>
          </w:p>
        </w:tc>
      </w:tr>
      <w:tr w:rsidR="003A55AF" w14:paraId="23413058"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68.20pt" w:type="dxa"/>
          </w:tcPr>
          <w:p w14:paraId="310715B9" w14:textId="77777777" w:rsidR="003A55AF" w:rsidRDefault="00000000">
            <w:r>
              <w:rPr>
                <w:b w:val="0"/>
                <w:sz w:val="16"/>
                <w:szCs w:val="16"/>
              </w:rPr>
              <w:t>Normalization centre and scale</w:t>
            </w:r>
          </w:p>
        </w:tc>
        <w:tc>
          <w:tcPr>
            <w:tcW w:w="168.20pt" w:type="dxa"/>
          </w:tcPr>
          <w:p w14:paraId="77D91B64"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Estimated</w:t>
            </w:r>
          </w:p>
        </w:tc>
        <w:tc>
          <w:tcPr>
            <w:tcW w:w="168.20pt" w:type="dxa"/>
          </w:tcPr>
          <w:p w14:paraId="5EFCCC94"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Training increments</w:t>
            </w:r>
          </w:p>
        </w:tc>
      </w:tr>
      <w:tr w:rsidR="003A55AF" w14:paraId="4D84C1F8" w14:textId="77777777" w:rsidTr="003A55AF">
        <w:tc>
          <w:tcPr>
            <w:cnfStyle w:firstRow="0" w:lastRow="0" w:firstColumn="1" w:lastColumn="0" w:oddVBand="0" w:evenVBand="0" w:oddHBand="0" w:evenHBand="0" w:firstRowFirstColumn="0" w:firstRowLastColumn="0" w:lastRowFirstColumn="0" w:lastRowLastColumn="0"/>
            <w:tcW w:w="168.20pt" w:type="dxa"/>
          </w:tcPr>
          <w:p w14:paraId="16E86CFF" w14:textId="77777777" w:rsidR="003A55AF" w:rsidRDefault="00000000">
            <w:r>
              <w:rPr>
                <w:b w:val="0"/>
                <w:sz w:val="16"/>
                <w:szCs w:val="16"/>
              </w:rPr>
              <w:t>Event phase parameters</w:t>
            </w:r>
          </w:p>
        </w:tc>
        <w:tc>
          <w:tcPr>
            <w:tcW w:w="168.20pt" w:type="dxa"/>
          </w:tcPr>
          <w:p w14:paraId="6DAA41FC"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Declared</w:t>
            </w:r>
          </w:p>
        </w:tc>
        <w:tc>
          <w:tcPr>
            <w:tcW w:w="168.20pt" w:type="dxa"/>
          </w:tcPr>
          <w:p w14:paraId="37B24819"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Scenario specification</w:t>
            </w:r>
          </w:p>
        </w:tc>
      </w:tr>
      <w:tr w:rsidR="003A55AF" w14:paraId="63A36A68"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68.20pt" w:type="dxa"/>
          </w:tcPr>
          <w:p w14:paraId="79122D98" w14:textId="77777777" w:rsidR="003A55AF" w:rsidRDefault="00000000">
            <w:r>
              <w:rPr>
                <w:b w:val="0"/>
                <w:sz w:val="16"/>
                <w:szCs w:val="16"/>
              </w:rPr>
              <w:t>Conformal radii</w:t>
            </w:r>
          </w:p>
        </w:tc>
        <w:tc>
          <w:tcPr>
            <w:tcW w:w="168.20pt" w:type="dxa"/>
          </w:tcPr>
          <w:p w14:paraId="496C0CA4"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Estimated</w:t>
            </w:r>
          </w:p>
        </w:tc>
        <w:tc>
          <w:tcPr>
            <w:tcW w:w="168.20pt" w:type="dxa"/>
          </w:tcPr>
          <w:p w14:paraId="512DC31F"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Calibration segment</w:t>
            </w:r>
          </w:p>
        </w:tc>
      </w:tr>
      <w:tr w:rsidR="003A55AF" w14:paraId="74D60CEB" w14:textId="77777777" w:rsidTr="003A55AF">
        <w:tc>
          <w:tcPr>
            <w:cnfStyle w:firstRow="0" w:lastRow="0" w:firstColumn="1" w:lastColumn="0" w:oddVBand="0" w:evenVBand="0" w:oddHBand="0" w:evenHBand="0" w:firstRowFirstColumn="0" w:firstRowLastColumn="0" w:lastRowFirstColumn="0" w:lastRowLastColumn="0"/>
            <w:tcW w:w="168.20pt" w:type="dxa"/>
          </w:tcPr>
          <w:p w14:paraId="0F35F213" w14:textId="77777777" w:rsidR="003A55AF" w:rsidRDefault="00000000">
            <w:r>
              <w:rPr>
                <w:b w:val="0"/>
                <w:sz w:val="16"/>
                <w:szCs w:val="16"/>
              </w:rPr>
              <w:t>Stability gain</w:t>
            </w:r>
          </w:p>
        </w:tc>
        <w:tc>
          <w:tcPr>
            <w:tcW w:w="168.20pt" w:type="dxa"/>
          </w:tcPr>
          <w:p w14:paraId="239471A9"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Constrained</w:t>
            </w:r>
          </w:p>
        </w:tc>
        <w:tc>
          <w:tcPr>
            <w:tcW w:w="168.20pt" w:type="dxa"/>
          </w:tcPr>
          <w:p w14:paraId="10D92110"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Companion-matrix cap</w:t>
            </w:r>
          </w:p>
        </w:tc>
      </w:tr>
    </w:tbl>
    <w:p w14:paraId="52BA96B8" w14:textId="77777777" w:rsidR="003A55AF" w:rsidRDefault="00000000">
      <w:pPr>
        <w:pStyle w:val="BodyText"/>
      </w:pPr>
      <w:r>
        <w:rPr>
          <w:b/>
        </w:rPr>
        <w:t>In plain words.</w:t>
      </w:r>
      <w:r>
        <w:t xml:space="preserve"> The analyst declares only the relationships and scenario parameters supported by prior knowledge. All remaining coefficients and preprocessing statistics are learned without final-test observations.</w:t>
      </w:r>
    </w:p>
    <w:p w14:paraId="5B34FAB7" w14:textId="77777777" w:rsidR="003A55AF" w:rsidRDefault="00000000">
      <w:pPr>
        <w:pStyle w:val="Heading1"/>
      </w:pPr>
      <w:r>
        <w:t>Evaluation</w:t>
      </w:r>
    </w:p>
    <w:p w14:paraId="1A833193" w14:textId="77777777" w:rsidR="003A55AF" w:rsidRDefault="00000000">
      <w:pPr>
        <w:pStyle w:val="BodyText"/>
      </w:pPr>
      <w:r>
        <w:t xml:space="preserve">All reported artifacts are generated by </w:t>
      </w:r>
      <w:r>
        <w:rPr>
          <w:rFonts w:ascii="Consolas" w:hAnsi="Consolas"/>
        </w:rPr>
        <w:t>python -m experiments.run_all --full</w:t>
      </w:r>
      <w:r>
        <w:t>. The command records dataset hashes, seeds, environment versions, fitted stores, predictions, and metrics.</w:t>
      </w:r>
    </w:p>
    <w:p w14:paraId="361187E1" w14:textId="77777777" w:rsidR="003A55AF" w:rsidRDefault="00000000">
      <w:pPr>
        <w:pStyle w:val="Heading2"/>
      </w:pPr>
      <w:r>
        <w:t>Systems with known ground truth</w:t>
      </w:r>
    </w:p>
    <w:p w14:paraId="59969469" w14:textId="77777777" w:rsidR="003A55AF" w:rsidRDefault="00000000">
      <w:pPr>
        <w:pStyle w:val="BodyText"/>
      </w:pPr>
      <w:r>
        <w:t>Stable sparse five-variable VAR systems were generated at sample sizes 80, 160, and 320. Transition matrices were scaled to spectral radius 0.85 and driven by Gaussian innovations with standard deviation 0.15. Each condition used 100 random seeds.</w:t>
      </w:r>
    </w:p>
    <w:p w14:paraId="00C8598A" w14:textId="77777777" w:rsidR="003A55AF" w:rsidRDefault="00000000">
      <w:pPr>
        <w:pStyle w:val="BodyText"/>
      </w:pPr>
      <w:r>
        <w:t>Correct fixed entries covered 0%, 25%, or 50% of true edges. A second condition reversed the sign of 10% of the selected pins. Outcomes included support F1, coefficient RMSE, sign accuracy, structural Hamming distance, and recursive forecast error.</w:t>
      </w:r>
    </w:p>
    <w:p w14:paraId="211FAAFF" w14:textId="77777777" w:rsidR="003A55AF" w:rsidRDefault="00000000">
      <w:pPr>
        <w:pStyle w:val="Caption"/>
      </w:pPr>
      <w:r>
        <w:rPr>
          <w:i w:val="0"/>
        </w:rPr>
        <w:t>Table 4. Structural recovery over 100 seeds with correct pins.</w:t>
      </w:r>
    </w:p>
    <w:tbl>
      <w:tblPr>
        <w:tblStyle w:val="PlainTable2"/>
        <w:tblW w:w="0pt" w:type="auto"/>
        <w:tblLook w:firstRow="1" w:lastRow="0" w:firstColumn="1" w:lastColumn="0" w:noHBand="0" w:noVBand="1"/>
      </w:tblPr>
      <w:tblGrid>
        <w:gridCol w:w="1215"/>
        <w:gridCol w:w="943"/>
        <w:gridCol w:w="903"/>
        <w:gridCol w:w="1070"/>
        <w:gridCol w:w="735"/>
      </w:tblGrid>
      <w:tr w:rsidR="003A55AF" w14:paraId="10DD90C9" w14:textId="77777777" w:rsidTr="003A55AF">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00.90pt" w:type="dxa"/>
          </w:tcPr>
          <w:p w14:paraId="56EFC464" w14:textId="77777777" w:rsidR="003A55AF" w:rsidRDefault="00000000">
            <w:r>
              <w:rPr>
                <w:sz w:val="16"/>
                <w:szCs w:val="16"/>
              </w:rPr>
              <w:t>Observations</w:t>
            </w:r>
          </w:p>
        </w:tc>
        <w:tc>
          <w:tcPr>
            <w:tcW w:w="100.90pt" w:type="dxa"/>
          </w:tcPr>
          <w:p w14:paraId="474E07CF"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Pin coverage</w:t>
            </w:r>
          </w:p>
        </w:tc>
        <w:tc>
          <w:tcPr>
            <w:tcW w:w="100.90pt" w:type="dxa"/>
          </w:tcPr>
          <w:p w14:paraId="178E5968"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Support F1</w:t>
            </w:r>
          </w:p>
        </w:tc>
        <w:tc>
          <w:tcPr>
            <w:tcW w:w="100.90pt" w:type="dxa"/>
          </w:tcPr>
          <w:p w14:paraId="4B08B004"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Coefficient RMSE</w:t>
            </w:r>
          </w:p>
        </w:tc>
        <w:tc>
          <w:tcPr>
            <w:tcW w:w="100.90pt" w:type="dxa"/>
          </w:tcPr>
          <w:p w14:paraId="27555D00"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Six-step MAE</w:t>
            </w:r>
          </w:p>
        </w:tc>
      </w:tr>
      <w:tr w:rsidR="003A55AF" w14:paraId="74F0D104"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00.90pt" w:type="dxa"/>
          </w:tcPr>
          <w:p w14:paraId="1F0822F2" w14:textId="77777777" w:rsidR="003A55AF" w:rsidRDefault="00000000">
            <w:r>
              <w:rPr>
                <w:b w:val="0"/>
                <w:sz w:val="16"/>
                <w:szCs w:val="16"/>
              </w:rPr>
              <w:t>80</w:t>
            </w:r>
          </w:p>
        </w:tc>
        <w:tc>
          <w:tcPr>
            <w:tcW w:w="100.90pt" w:type="dxa"/>
          </w:tcPr>
          <w:p w14:paraId="16317309"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w:t>
            </w:r>
          </w:p>
        </w:tc>
        <w:tc>
          <w:tcPr>
            <w:tcW w:w="100.90pt" w:type="dxa"/>
          </w:tcPr>
          <w:p w14:paraId="0216E0F0"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0.711</w:t>
            </w:r>
          </w:p>
        </w:tc>
        <w:tc>
          <w:tcPr>
            <w:tcW w:w="100.90pt" w:type="dxa"/>
          </w:tcPr>
          <w:p w14:paraId="42C0014C"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0.095</w:t>
            </w:r>
          </w:p>
        </w:tc>
        <w:tc>
          <w:tcPr>
            <w:tcW w:w="100.90pt" w:type="dxa"/>
          </w:tcPr>
          <w:p w14:paraId="5AFE9D99"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0.183</w:t>
            </w:r>
          </w:p>
        </w:tc>
      </w:tr>
      <w:tr w:rsidR="003A55AF" w14:paraId="71712407" w14:textId="77777777" w:rsidTr="003A55AF">
        <w:tc>
          <w:tcPr>
            <w:cnfStyle w:firstRow="0" w:lastRow="0" w:firstColumn="1" w:lastColumn="0" w:oddVBand="0" w:evenVBand="0" w:oddHBand="0" w:evenHBand="0" w:firstRowFirstColumn="0" w:firstRowLastColumn="0" w:lastRowFirstColumn="0" w:lastRowLastColumn="0"/>
            <w:tcW w:w="100.90pt" w:type="dxa"/>
          </w:tcPr>
          <w:p w14:paraId="558F8FDF" w14:textId="77777777" w:rsidR="003A55AF" w:rsidRDefault="00000000">
            <w:r>
              <w:rPr>
                <w:b w:val="0"/>
                <w:sz w:val="16"/>
                <w:szCs w:val="16"/>
              </w:rPr>
              <w:t>80</w:t>
            </w:r>
          </w:p>
        </w:tc>
        <w:tc>
          <w:tcPr>
            <w:tcW w:w="100.90pt" w:type="dxa"/>
          </w:tcPr>
          <w:p w14:paraId="7F8F3CCB"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25%</w:t>
            </w:r>
          </w:p>
        </w:tc>
        <w:tc>
          <w:tcPr>
            <w:tcW w:w="100.90pt" w:type="dxa"/>
          </w:tcPr>
          <w:p w14:paraId="351C2F55"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0.739</w:t>
            </w:r>
          </w:p>
        </w:tc>
        <w:tc>
          <w:tcPr>
            <w:tcW w:w="100.90pt" w:type="dxa"/>
          </w:tcPr>
          <w:p w14:paraId="1550A5D3"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0.081</w:t>
            </w:r>
          </w:p>
        </w:tc>
        <w:tc>
          <w:tcPr>
            <w:tcW w:w="100.90pt" w:type="dxa"/>
          </w:tcPr>
          <w:p w14:paraId="51F6503D"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0.182</w:t>
            </w:r>
          </w:p>
        </w:tc>
      </w:tr>
      <w:tr w:rsidR="003A55AF" w14:paraId="3B1213A8"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00.90pt" w:type="dxa"/>
          </w:tcPr>
          <w:p w14:paraId="1C8001A7" w14:textId="77777777" w:rsidR="003A55AF" w:rsidRDefault="00000000">
            <w:r>
              <w:rPr>
                <w:b w:val="0"/>
                <w:sz w:val="16"/>
                <w:szCs w:val="16"/>
              </w:rPr>
              <w:t>80</w:t>
            </w:r>
          </w:p>
        </w:tc>
        <w:tc>
          <w:tcPr>
            <w:tcW w:w="100.90pt" w:type="dxa"/>
          </w:tcPr>
          <w:p w14:paraId="75CC26BA"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50%</w:t>
            </w:r>
          </w:p>
        </w:tc>
        <w:tc>
          <w:tcPr>
            <w:tcW w:w="100.90pt" w:type="dxa"/>
          </w:tcPr>
          <w:p w14:paraId="33F69D37"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0.786</w:t>
            </w:r>
          </w:p>
        </w:tc>
        <w:tc>
          <w:tcPr>
            <w:tcW w:w="100.90pt" w:type="dxa"/>
          </w:tcPr>
          <w:p w14:paraId="16FA132F"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0.063</w:t>
            </w:r>
          </w:p>
        </w:tc>
        <w:tc>
          <w:tcPr>
            <w:tcW w:w="100.90pt" w:type="dxa"/>
          </w:tcPr>
          <w:p w14:paraId="12BEC180"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0.182</w:t>
            </w:r>
          </w:p>
        </w:tc>
      </w:tr>
      <w:tr w:rsidR="003A55AF" w14:paraId="7573B195" w14:textId="77777777" w:rsidTr="003A55AF">
        <w:tc>
          <w:tcPr>
            <w:cnfStyle w:firstRow="0" w:lastRow="0" w:firstColumn="1" w:lastColumn="0" w:oddVBand="0" w:evenVBand="0" w:oddHBand="0" w:evenHBand="0" w:firstRowFirstColumn="0" w:firstRowLastColumn="0" w:lastRowFirstColumn="0" w:lastRowLastColumn="0"/>
            <w:tcW w:w="100.90pt" w:type="dxa"/>
          </w:tcPr>
          <w:p w14:paraId="3F88EACC" w14:textId="77777777" w:rsidR="003A55AF" w:rsidRDefault="00000000">
            <w:r>
              <w:rPr>
                <w:b w:val="0"/>
                <w:sz w:val="16"/>
                <w:szCs w:val="16"/>
              </w:rPr>
              <w:t>160</w:t>
            </w:r>
          </w:p>
        </w:tc>
        <w:tc>
          <w:tcPr>
            <w:tcW w:w="100.90pt" w:type="dxa"/>
          </w:tcPr>
          <w:p w14:paraId="02A47AFD"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0%</w:t>
            </w:r>
          </w:p>
        </w:tc>
        <w:tc>
          <w:tcPr>
            <w:tcW w:w="100.90pt" w:type="dxa"/>
          </w:tcPr>
          <w:p w14:paraId="7B0EFE71"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0.767</w:t>
            </w:r>
          </w:p>
        </w:tc>
        <w:tc>
          <w:tcPr>
            <w:tcW w:w="100.90pt" w:type="dxa"/>
          </w:tcPr>
          <w:p w14:paraId="094440A6"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0.090</w:t>
            </w:r>
          </w:p>
        </w:tc>
        <w:tc>
          <w:tcPr>
            <w:tcW w:w="100.90pt" w:type="dxa"/>
          </w:tcPr>
          <w:p w14:paraId="1A70D3A2"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0.184</w:t>
            </w:r>
          </w:p>
        </w:tc>
      </w:tr>
      <w:tr w:rsidR="003A55AF" w14:paraId="365A128A"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00.90pt" w:type="dxa"/>
          </w:tcPr>
          <w:p w14:paraId="7270A91F" w14:textId="77777777" w:rsidR="003A55AF" w:rsidRDefault="00000000">
            <w:r>
              <w:rPr>
                <w:b w:val="0"/>
                <w:sz w:val="16"/>
                <w:szCs w:val="16"/>
              </w:rPr>
              <w:t>160</w:t>
            </w:r>
          </w:p>
        </w:tc>
        <w:tc>
          <w:tcPr>
            <w:tcW w:w="100.90pt" w:type="dxa"/>
          </w:tcPr>
          <w:p w14:paraId="6714FE2C"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25%</w:t>
            </w:r>
          </w:p>
        </w:tc>
        <w:tc>
          <w:tcPr>
            <w:tcW w:w="100.90pt" w:type="dxa"/>
          </w:tcPr>
          <w:p w14:paraId="2B67DE30"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0.809</w:t>
            </w:r>
          </w:p>
        </w:tc>
        <w:tc>
          <w:tcPr>
            <w:tcW w:w="100.90pt" w:type="dxa"/>
          </w:tcPr>
          <w:p w14:paraId="4AC3A91C"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0.078</w:t>
            </w:r>
          </w:p>
        </w:tc>
        <w:tc>
          <w:tcPr>
            <w:tcW w:w="100.90pt" w:type="dxa"/>
          </w:tcPr>
          <w:p w14:paraId="4F3B7090"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0.184</w:t>
            </w:r>
          </w:p>
        </w:tc>
      </w:tr>
      <w:tr w:rsidR="003A55AF" w14:paraId="6BD2521C" w14:textId="77777777" w:rsidTr="003A55AF">
        <w:tc>
          <w:tcPr>
            <w:cnfStyle w:firstRow="0" w:lastRow="0" w:firstColumn="1" w:lastColumn="0" w:oddVBand="0" w:evenVBand="0" w:oddHBand="0" w:evenHBand="0" w:firstRowFirstColumn="0" w:firstRowLastColumn="0" w:lastRowFirstColumn="0" w:lastRowLastColumn="0"/>
            <w:tcW w:w="100.90pt" w:type="dxa"/>
          </w:tcPr>
          <w:p w14:paraId="388603E3" w14:textId="77777777" w:rsidR="003A55AF" w:rsidRDefault="00000000">
            <w:r>
              <w:rPr>
                <w:b w:val="0"/>
                <w:sz w:val="16"/>
                <w:szCs w:val="16"/>
              </w:rPr>
              <w:t>160</w:t>
            </w:r>
          </w:p>
        </w:tc>
        <w:tc>
          <w:tcPr>
            <w:tcW w:w="100.90pt" w:type="dxa"/>
          </w:tcPr>
          <w:p w14:paraId="084FE772"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50%</w:t>
            </w:r>
          </w:p>
        </w:tc>
        <w:tc>
          <w:tcPr>
            <w:tcW w:w="100.90pt" w:type="dxa"/>
          </w:tcPr>
          <w:p w14:paraId="7C6EBAEE"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0.864</w:t>
            </w:r>
          </w:p>
        </w:tc>
        <w:tc>
          <w:tcPr>
            <w:tcW w:w="100.90pt" w:type="dxa"/>
          </w:tcPr>
          <w:p w14:paraId="3F063758"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0.060</w:t>
            </w:r>
          </w:p>
        </w:tc>
        <w:tc>
          <w:tcPr>
            <w:tcW w:w="100.90pt" w:type="dxa"/>
          </w:tcPr>
          <w:p w14:paraId="6C86009C"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0.183</w:t>
            </w:r>
          </w:p>
        </w:tc>
      </w:tr>
      <w:tr w:rsidR="003A55AF" w14:paraId="4969C744"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00.90pt" w:type="dxa"/>
          </w:tcPr>
          <w:p w14:paraId="7EA4FC85" w14:textId="77777777" w:rsidR="003A55AF" w:rsidRDefault="00000000">
            <w:r>
              <w:rPr>
                <w:b w:val="0"/>
                <w:sz w:val="16"/>
                <w:szCs w:val="16"/>
              </w:rPr>
              <w:t>320</w:t>
            </w:r>
          </w:p>
        </w:tc>
        <w:tc>
          <w:tcPr>
            <w:tcW w:w="100.90pt" w:type="dxa"/>
          </w:tcPr>
          <w:p w14:paraId="1A78805E"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w:t>
            </w:r>
          </w:p>
        </w:tc>
        <w:tc>
          <w:tcPr>
            <w:tcW w:w="100.90pt" w:type="dxa"/>
          </w:tcPr>
          <w:p w14:paraId="1BE147FA"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0.817</w:t>
            </w:r>
          </w:p>
        </w:tc>
        <w:tc>
          <w:tcPr>
            <w:tcW w:w="100.90pt" w:type="dxa"/>
          </w:tcPr>
          <w:p w14:paraId="2C9313A5"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0.090</w:t>
            </w:r>
          </w:p>
        </w:tc>
        <w:tc>
          <w:tcPr>
            <w:tcW w:w="100.90pt" w:type="dxa"/>
          </w:tcPr>
          <w:p w14:paraId="216561E8"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0.184</w:t>
            </w:r>
          </w:p>
        </w:tc>
      </w:tr>
      <w:tr w:rsidR="003A55AF" w14:paraId="7BD2B557" w14:textId="77777777" w:rsidTr="003A55AF">
        <w:tc>
          <w:tcPr>
            <w:cnfStyle w:firstRow="0" w:lastRow="0" w:firstColumn="1" w:lastColumn="0" w:oddVBand="0" w:evenVBand="0" w:oddHBand="0" w:evenHBand="0" w:firstRowFirstColumn="0" w:firstRowLastColumn="0" w:lastRowFirstColumn="0" w:lastRowLastColumn="0"/>
            <w:tcW w:w="100.90pt" w:type="dxa"/>
          </w:tcPr>
          <w:p w14:paraId="7A0E4834" w14:textId="77777777" w:rsidR="003A55AF" w:rsidRDefault="00000000">
            <w:r>
              <w:rPr>
                <w:b w:val="0"/>
                <w:sz w:val="16"/>
                <w:szCs w:val="16"/>
              </w:rPr>
              <w:t>320</w:t>
            </w:r>
          </w:p>
        </w:tc>
        <w:tc>
          <w:tcPr>
            <w:tcW w:w="100.90pt" w:type="dxa"/>
          </w:tcPr>
          <w:p w14:paraId="10F4DE31"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25%</w:t>
            </w:r>
          </w:p>
        </w:tc>
        <w:tc>
          <w:tcPr>
            <w:tcW w:w="100.90pt" w:type="dxa"/>
          </w:tcPr>
          <w:p w14:paraId="1CFCB57A"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0.850</w:t>
            </w:r>
          </w:p>
        </w:tc>
        <w:tc>
          <w:tcPr>
            <w:tcW w:w="100.90pt" w:type="dxa"/>
          </w:tcPr>
          <w:p w14:paraId="25CABB39"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0.078</w:t>
            </w:r>
          </w:p>
        </w:tc>
        <w:tc>
          <w:tcPr>
            <w:tcW w:w="100.90pt" w:type="dxa"/>
          </w:tcPr>
          <w:p w14:paraId="6D7D527F"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0.183</w:t>
            </w:r>
          </w:p>
        </w:tc>
      </w:tr>
      <w:tr w:rsidR="003A55AF" w14:paraId="1FC87E35"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00.90pt" w:type="dxa"/>
          </w:tcPr>
          <w:p w14:paraId="5D83B753" w14:textId="77777777" w:rsidR="003A55AF" w:rsidRDefault="00000000">
            <w:r>
              <w:rPr>
                <w:b w:val="0"/>
                <w:sz w:val="16"/>
                <w:szCs w:val="16"/>
              </w:rPr>
              <w:t>320</w:t>
            </w:r>
          </w:p>
        </w:tc>
        <w:tc>
          <w:tcPr>
            <w:tcW w:w="100.90pt" w:type="dxa"/>
          </w:tcPr>
          <w:p w14:paraId="211CDA93"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50%</w:t>
            </w:r>
          </w:p>
        </w:tc>
        <w:tc>
          <w:tcPr>
            <w:tcW w:w="100.90pt" w:type="dxa"/>
          </w:tcPr>
          <w:p w14:paraId="6AF9F0B2"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0.905</w:t>
            </w:r>
          </w:p>
        </w:tc>
        <w:tc>
          <w:tcPr>
            <w:tcW w:w="100.90pt" w:type="dxa"/>
          </w:tcPr>
          <w:p w14:paraId="1193DED1"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0.062</w:t>
            </w:r>
          </w:p>
        </w:tc>
        <w:tc>
          <w:tcPr>
            <w:tcW w:w="100.90pt" w:type="dxa"/>
          </w:tcPr>
          <w:p w14:paraId="70D7BF08"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0.183</w:t>
            </w:r>
          </w:p>
        </w:tc>
      </w:tr>
    </w:tbl>
    <w:p w14:paraId="699E8B19" w14:textId="77777777" w:rsidR="003A55AF" w:rsidRDefault="00000000">
      <w:pPr>
        <w:pStyle w:val="BodyText"/>
      </w:pPr>
      <w:r>
        <w:t>Correct pins increase support F1 and reduce coefficient error. Six-step forecast MAE changes by less than 1%, so the measured benefit is structural recovery rather than general forecast improvement.</w:t>
      </w:r>
    </w:p>
    <w:p w14:paraId="024B21BE" w14:textId="77777777" w:rsidR="003A55AF" w:rsidRDefault="00000000">
      <w:pPr>
        <w:pStyle w:val="BodyText"/>
      </w:pPr>
      <w:r>
        <w:t>At 50% coverage, mean F1 was 0.852 with correct pins and 0.849 when 10% of selected pins were sign-reversed. Coefficient RMSE increased from 0.062 to 0.082.</w:t>
      </w:r>
    </w:p>
    <w:p w14:paraId="175A1978" w14:textId="77777777" w:rsidR="003A55AF" w:rsidRDefault="00000000">
      <w:pPr>
        <w:pStyle w:val="Heading2"/>
      </w:pPr>
      <w:r>
        <w:t>Observed panels and a macroeconomic contrast</w:t>
      </w:r>
    </w:p>
    <w:p w14:paraId="768FC0D9" w14:textId="05E71426" w:rsidR="003A55AF" w:rsidRDefault="00000000">
      <w:pPr>
        <w:pStyle w:val="BodyText"/>
      </w:pPr>
      <w:r>
        <w:t xml:space="preserve">The observed evaluation used the UCI Air Quality panel </w:t>
      </w:r>
      <w:sdt>
        <w:sdtPr>
          <w:id w:val="-41600336"/>
          <w:citation/>
        </w:sdtPr>
        <w:sdtContent>
          <w:r>
            <w:fldChar w:fldCharType="begin"/>
          </w:r>
          <w:r>
            <w:instrText xml:space="preserve"> CITATION Fra08 \l en-US </w:instrText>
          </w:r>
          <w:r>
            <w:fldChar w:fldCharType="separate"/>
          </w:r>
          <w:r>
            <w:rPr>
              <w:noProof/>
            </w:rPr>
            <w:t>[13]</w:t>
          </w:r>
          <w:r>
            <w:fldChar w:fldCharType="end"/>
          </w:r>
        </w:sdtContent>
      </w:sdt>
      <w:r>
        <w:t xml:space="preserve"> and the UCI Appliances Energy Prediction panel </w:t>
      </w:r>
      <w:sdt>
        <w:sdtPr>
          <w:id w:val="-1058005250"/>
          <w:citation/>
        </w:sdtPr>
        <w:sdtContent>
          <w:r>
            <w:fldChar w:fldCharType="begin"/>
          </w:r>
          <w:r>
            <w:instrText xml:space="preserve"> CITATION Der17 \l en-US </w:instrText>
          </w:r>
          <w:r>
            <w:fldChar w:fldCharType="separate"/>
          </w:r>
          <w:r>
            <w:rPr>
              <w:noProof/>
            </w:rPr>
            <w:t>[14]</w:t>
          </w:r>
          <w:r>
            <w:fldChar w:fldCharType="end"/>
          </w:r>
        </w:sdtContent>
      </w:sdt>
      <w:r>
        <w:t>, aggregated to daily frequency. A monthly US macroeconomic panel was retained as a negative control because historical-vintage release information was unavailable.</w:t>
      </w:r>
    </w:p>
    <w:p w14:paraId="03E634C7" w14:textId="77777777" w:rsidR="003A55AF" w:rsidRDefault="00000000">
      <w:pPr>
        <w:pStyle w:val="BodyText"/>
      </w:pPr>
      <w:r>
        <w:t>QNTUM was compared with zero-increment, increment-persistence, independent autoregression, unrestricted VAR, ridge VAR, and thresholded sparse VAR baselines. All models used chronological fitting, calibration, and final-test segments. Forecasts were recursive at horizons 1, 3, 6, and 12.</w:t>
      </w:r>
    </w:p>
    <w:p w14:paraId="31837802" w14:textId="77777777" w:rsidR="003A55AF" w:rsidRDefault="00000000">
      <w:pPr>
        <w:pStyle w:val="Caption"/>
      </w:pPr>
      <w:r>
        <w:rPr>
          <w:i w:val="0"/>
        </w:rPr>
        <w:t>Table 5. Recursive MAE in standardized increment units.</w:t>
      </w:r>
    </w:p>
    <w:tbl>
      <w:tblPr>
        <w:tblStyle w:val="PlainTable2"/>
        <w:tblW w:w="0pt" w:type="auto"/>
        <w:tblLook w:firstRow="1" w:lastRow="0" w:firstColumn="1" w:lastColumn="0" w:noHBand="0" w:noVBand="1"/>
      </w:tblPr>
      <w:tblGrid>
        <w:gridCol w:w="1032"/>
        <w:gridCol w:w="962"/>
        <w:gridCol w:w="718"/>
        <w:gridCol w:w="718"/>
        <w:gridCol w:w="718"/>
        <w:gridCol w:w="718"/>
      </w:tblGrid>
      <w:tr w:rsidR="003A55AF" w14:paraId="1C7DFCF5" w14:textId="77777777" w:rsidTr="003A55AF">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4.10pt" w:type="dxa"/>
          </w:tcPr>
          <w:p w14:paraId="1B9FA3AB" w14:textId="77777777" w:rsidR="003A55AF" w:rsidRDefault="00000000">
            <w:r>
              <w:rPr>
                <w:sz w:val="16"/>
                <w:szCs w:val="16"/>
              </w:rPr>
              <w:t>Panel</w:t>
            </w:r>
          </w:p>
        </w:tc>
        <w:tc>
          <w:tcPr>
            <w:tcW w:w="84.10pt" w:type="dxa"/>
          </w:tcPr>
          <w:p w14:paraId="5656A0C6"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Model</w:t>
            </w:r>
          </w:p>
        </w:tc>
        <w:tc>
          <w:tcPr>
            <w:tcW w:w="84.10pt" w:type="dxa"/>
          </w:tcPr>
          <w:p w14:paraId="5462BAF9"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h=1</w:t>
            </w:r>
          </w:p>
        </w:tc>
        <w:tc>
          <w:tcPr>
            <w:tcW w:w="84.10pt" w:type="dxa"/>
          </w:tcPr>
          <w:p w14:paraId="6AABC3A3"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h=3</w:t>
            </w:r>
          </w:p>
        </w:tc>
        <w:tc>
          <w:tcPr>
            <w:tcW w:w="84.10pt" w:type="dxa"/>
          </w:tcPr>
          <w:p w14:paraId="5A7D349B"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h=6</w:t>
            </w:r>
          </w:p>
        </w:tc>
        <w:tc>
          <w:tcPr>
            <w:tcW w:w="84.10pt" w:type="dxa"/>
          </w:tcPr>
          <w:p w14:paraId="105809D5"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h=12</w:t>
            </w:r>
          </w:p>
        </w:tc>
      </w:tr>
      <w:tr w:rsidR="003A55AF" w14:paraId="4397BC9C"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4.10pt" w:type="dxa"/>
          </w:tcPr>
          <w:p w14:paraId="285E0EE8" w14:textId="77777777" w:rsidR="003A55AF" w:rsidRDefault="00000000">
            <w:r>
              <w:rPr>
                <w:b w:val="0"/>
                <w:sz w:val="16"/>
                <w:szCs w:val="16"/>
              </w:rPr>
              <w:t>Air Quality</w:t>
            </w:r>
          </w:p>
        </w:tc>
        <w:tc>
          <w:tcPr>
            <w:tcW w:w="84.10pt" w:type="dxa"/>
          </w:tcPr>
          <w:p w14:paraId="3B6EB432"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QNTUM</w:t>
            </w:r>
          </w:p>
        </w:tc>
        <w:tc>
          <w:tcPr>
            <w:tcW w:w="84.10pt" w:type="dxa"/>
          </w:tcPr>
          <w:p w14:paraId="2103BACE"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1.009</w:t>
            </w:r>
          </w:p>
        </w:tc>
        <w:tc>
          <w:tcPr>
            <w:tcW w:w="84.10pt" w:type="dxa"/>
          </w:tcPr>
          <w:p w14:paraId="2722461B"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1.019</w:t>
            </w:r>
          </w:p>
        </w:tc>
        <w:tc>
          <w:tcPr>
            <w:tcW w:w="84.10pt" w:type="dxa"/>
          </w:tcPr>
          <w:p w14:paraId="68E84868"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1.002</w:t>
            </w:r>
          </w:p>
        </w:tc>
        <w:tc>
          <w:tcPr>
            <w:tcW w:w="84.10pt" w:type="dxa"/>
          </w:tcPr>
          <w:p w14:paraId="322EAC60"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0.975</w:t>
            </w:r>
          </w:p>
        </w:tc>
      </w:tr>
      <w:tr w:rsidR="003A55AF" w14:paraId="2111ED6C" w14:textId="77777777" w:rsidTr="003A55AF">
        <w:tc>
          <w:tcPr>
            <w:cnfStyle w:firstRow="0" w:lastRow="0" w:firstColumn="1" w:lastColumn="0" w:oddVBand="0" w:evenVBand="0" w:oddHBand="0" w:evenHBand="0" w:firstRowFirstColumn="0" w:firstRowLastColumn="0" w:lastRowFirstColumn="0" w:lastRowLastColumn="0"/>
            <w:tcW w:w="84.10pt" w:type="dxa"/>
          </w:tcPr>
          <w:p w14:paraId="2F2B8F6E" w14:textId="77777777" w:rsidR="003A55AF" w:rsidRDefault="00000000">
            <w:r>
              <w:rPr>
                <w:b w:val="0"/>
                <w:sz w:val="16"/>
                <w:szCs w:val="16"/>
              </w:rPr>
              <w:t>Air Quality</w:t>
            </w:r>
          </w:p>
        </w:tc>
        <w:tc>
          <w:tcPr>
            <w:tcW w:w="84.10pt" w:type="dxa"/>
          </w:tcPr>
          <w:p w14:paraId="352A31DF"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Zero increment</w:t>
            </w:r>
          </w:p>
        </w:tc>
        <w:tc>
          <w:tcPr>
            <w:tcW w:w="84.10pt" w:type="dxa"/>
          </w:tcPr>
          <w:p w14:paraId="2EC819B8"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1.006</w:t>
            </w:r>
          </w:p>
        </w:tc>
        <w:tc>
          <w:tcPr>
            <w:tcW w:w="84.10pt" w:type="dxa"/>
          </w:tcPr>
          <w:p w14:paraId="4D8F7C4A"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1.006</w:t>
            </w:r>
          </w:p>
        </w:tc>
        <w:tc>
          <w:tcPr>
            <w:tcW w:w="84.10pt" w:type="dxa"/>
          </w:tcPr>
          <w:p w14:paraId="149FF18F"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1.003</w:t>
            </w:r>
          </w:p>
        </w:tc>
        <w:tc>
          <w:tcPr>
            <w:tcW w:w="84.10pt" w:type="dxa"/>
          </w:tcPr>
          <w:p w14:paraId="5702CA26"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0.975</w:t>
            </w:r>
          </w:p>
        </w:tc>
      </w:tr>
      <w:tr w:rsidR="003A55AF" w14:paraId="770F902B"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4.10pt" w:type="dxa"/>
          </w:tcPr>
          <w:p w14:paraId="47CE0500" w14:textId="77777777" w:rsidR="003A55AF" w:rsidRDefault="00000000">
            <w:r>
              <w:rPr>
                <w:b w:val="0"/>
                <w:sz w:val="16"/>
                <w:szCs w:val="16"/>
              </w:rPr>
              <w:t>Air Quality</w:t>
            </w:r>
          </w:p>
        </w:tc>
        <w:tc>
          <w:tcPr>
            <w:tcW w:w="84.10pt" w:type="dxa"/>
          </w:tcPr>
          <w:p w14:paraId="45A2B6C1"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VAR</w:t>
            </w:r>
          </w:p>
        </w:tc>
        <w:tc>
          <w:tcPr>
            <w:tcW w:w="84.10pt" w:type="dxa"/>
          </w:tcPr>
          <w:p w14:paraId="0E49D738"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1.054</w:t>
            </w:r>
          </w:p>
        </w:tc>
        <w:tc>
          <w:tcPr>
            <w:tcW w:w="84.10pt" w:type="dxa"/>
          </w:tcPr>
          <w:p w14:paraId="41D22F4C"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1.004</w:t>
            </w:r>
          </w:p>
        </w:tc>
        <w:tc>
          <w:tcPr>
            <w:tcW w:w="84.10pt" w:type="dxa"/>
          </w:tcPr>
          <w:p w14:paraId="376D5A0A"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1.002</w:t>
            </w:r>
          </w:p>
        </w:tc>
        <w:tc>
          <w:tcPr>
            <w:tcW w:w="84.10pt" w:type="dxa"/>
          </w:tcPr>
          <w:p w14:paraId="79240CE4"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0.975</w:t>
            </w:r>
          </w:p>
        </w:tc>
      </w:tr>
      <w:tr w:rsidR="003A55AF" w14:paraId="2C1B8EA2" w14:textId="77777777" w:rsidTr="003A55AF">
        <w:tc>
          <w:tcPr>
            <w:cnfStyle w:firstRow="0" w:lastRow="0" w:firstColumn="1" w:lastColumn="0" w:oddVBand="0" w:evenVBand="0" w:oddHBand="0" w:evenHBand="0" w:firstRowFirstColumn="0" w:firstRowLastColumn="0" w:lastRowFirstColumn="0" w:lastRowLastColumn="0"/>
            <w:tcW w:w="84.10pt" w:type="dxa"/>
          </w:tcPr>
          <w:p w14:paraId="2B1ABFE0" w14:textId="77777777" w:rsidR="003A55AF" w:rsidRDefault="00000000">
            <w:r>
              <w:rPr>
                <w:b w:val="0"/>
                <w:sz w:val="16"/>
                <w:szCs w:val="16"/>
              </w:rPr>
              <w:t>Appliances</w:t>
            </w:r>
          </w:p>
        </w:tc>
        <w:tc>
          <w:tcPr>
            <w:tcW w:w="84.10pt" w:type="dxa"/>
          </w:tcPr>
          <w:p w14:paraId="3C3FD0C3"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QNTUM</w:t>
            </w:r>
          </w:p>
        </w:tc>
        <w:tc>
          <w:tcPr>
            <w:tcW w:w="84.10pt" w:type="dxa"/>
          </w:tcPr>
          <w:p w14:paraId="7738A141"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1.064</w:t>
            </w:r>
          </w:p>
        </w:tc>
        <w:tc>
          <w:tcPr>
            <w:tcW w:w="84.10pt" w:type="dxa"/>
          </w:tcPr>
          <w:p w14:paraId="528F2157"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1.067</w:t>
            </w:r>
          </w:p>
        </w:tc>
        <w:tc>
          <w:tcPr>
            <w:tcW w:w="84.10pt" w:type="dxa"/>
          </w:tcPr>
          <w:p w14:paraId="57FEE1A4"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1.078</w:t>
            </w:r>
          </w:p>
        </w:tc>
        <w:tc>
          <w:tcPr>
            <w:tcW w:w="84.10pt" w:type="dxa"/>
          </w:tcPr>
          <w:p w14:paraId="68234504"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1.146</w:t>
            </w:r>
          </w:p>
        </w:tc>
      </w:tr>
      <w:tr w:rsidR="003A55AF" w14:paraId="14F863F3"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4.10pt" w:type="dxa"/>
          </w:tcPr>
          <w:p w14:paraId="383BB112" w14:textId="77777777" w:rsidR="003A55AF" w:rsidRDefault="00000000">
            <w:r>
              <w:rPr>
                <w:b w:val="0"/>
                <w:sz w:val="16"/>
                <w:szCs w:val="16"/>
              </w:rPr>
              <w:t>Appliances</w:t>
            </w:r>
          </w:p>
        </w:tc>
        <w:tc>
          <w:tcPr>
            <w:tcW w:w="84.10pt" w:type="dxa"/>
          </w:tcPr>
          <w:p w14:paraId="6504DFAC"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Zero increment</w:t>
            </w:r>
          </w:p>
        </w:tc>
        <w:tc>
          <w:tcPr>
            <w:tcW w:w="84.10pt" w:type="dxa"/>
          </w:tcPr>
          <w:p w14:paraId="0705A50D"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1.062</w:t>
            </w:r>
          </w:p>
        </w:tc>
        <w:tc>
          <w:tcPr>
            <w:tcW w:w="84.10pt" w:type="dxa"/>
          </w:tcPr>
          <w:p w14:paraId="7E9995D9"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1.075</w:t>
            </w:r>
          </w:p>
        </w:tc>
        <w:tc>
          <w:tcPr>
            <w:tcW w:w="84.10pt" w:type="dxa"/>
          </w:tcPr>
          <w:p w14:paraId="65169386"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1.088</w:t>
            </w:r>
          </w:p>
        </w:tc>
        <w:tc>
          <w:tcPr>
            <w:tcW w:w="84.10pt" w:type="dxa"/>
          </w:tcPr>
          <w:p w14:paraId="2E2678E3"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1.161</w:t>
            </w:r>
          </w:p>
        </w:tc>
      </w:tr>
      <w:tr w:rsidR="003A55AF" w14:paraId="111FC5DA" w14:textId="77777777" w:rsidTr="003A55AF">
        <w:tc>
          <w:tcPr>
            <w:cnfStyle w:firstRow="0" w:lastRow="0" w:firstColumn="1" w:lastColumn="0" w:oddVBand="0" w:evenVBand="0" w:oddHBand="0" w:evenHBand="0" w:firstRowFirstColumn="0" w:firstRowLastColumn="0" w:lastRowFirstColumn="0" w:lastRowLastColumn="0"/>
            <w:tcW w:w="84.10pt" w:type="dxa"/>
          </w:tcPr>
          <w:p w14:paraId="181F1FB2" w14:textId="77777777" w:rsidR="003A55AF" w:rsidRDefault="00000000">
            <w:r>
              <w:rPr>
                <w:b w:val="0"/>
                <w:sz w:val="16"/>
                <w:szCs w:val="16"/>
              </w:rPr>
              <w:t>Appliances</w:t>
            </w:r>
          </w:p>
        </w:tc>
        <w:tc>
          <w:tcPr>
            <w:tcW w:w="84.10pt" w:type="dxa"/>
          </w:tcPr>
          <w:p w14:paraId="7D0FAEE6"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VAR</w:t>
            </w:r>
          </w:p>
        </w:tc>
        <w:tc>
          <w:tcPr>
            <w:tcW w:w="84.10pt" w:type="dxa"/>
          </w:tcPr>
          <w:p w14:paraId="5DB5B972"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1.144</w:t>
            </w:r>
          </w:p>
        </w:tc>
        <w:tc>
          <w:tcPr>
            <w:tcW w:w="84.10pt" w:type="dxa"/>
          </w:tcPr>
          <w:p w14:paraId="1F98290D"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1.080</w:t>
            </w:r>
          </w:p>
        </w:tc>
        <w:tc>
          <w:tcPr>
            <w:tcW w:w="84.10pt" w:type="dxa"/>
          </w:tcPr>
          <w:p w14:paraId="2B6B9B03"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1.075</w:t>
            </w:r>
          </w:p>
        </w:tc>
        <w:tc>
          <w:tcPr>
            <w:tcW w:w="84.10pt" w:type="dxa"/>
          </w:tcPr>
          <w:p w14:paraId="5A2679E9"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1.145</w:t>
            </w:r>
          </w:p>
        </w:tc>
      </w:tr>
      <w:tr w:rsidR="003A55AF" w14:paraId="06E21CE5"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4.10pt" w:type="dxa"/>
          </w:tcPr>
          <w:p w14:paraId="0AF5E662" w14:textId="77777777" w:rsidR="003A55AF" w:rsidRDefault="00000000">
            <w:r>
              <w:rPr>
                <w:b w:val="0"/>
                <w:sz w:val="16"/>
                <w:szCs w:val="16"/>
              </w:rPr>
              <w:t>Macro contrast</w:t>
            </w:r>
          </w:p>
        </w:tc>
        <w:tc>
          <w:tcPr>
            <w:tcW w:w="84.10pt" w:type="dxa"/>
          </w:tcPr>
          <w:p w14:paraId="1693FB32"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QNTUM</w:t>
            </w:r>
          </w:p>
        </w:tc>
        <w:tc>
          <w:tcPr>
            <w:tcW w:w="84.10pt" w:type="dxa"/>
          </w:tcPr>
          <w:p w14:paraId="46186C7A"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2.556</w:t>
            </w:r>
          </w:p>
        </w:tc>
        <w:tc>
          <w:tcPr>
            <w:tcW w:w="84.10pt" w:type="dxa"/>
          </w:tcPr>
          <w:p w14:paraId="320670D1"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2.556</w:t>
            </w:r>
          </w:p>
        </w:tc>
        <w:tc>
          <w:tcPr>
            <w:tcW w:w="84.10pt" w:type="dxa"/>
          </w:tcPr>
          <w:p w14:paraId="3C22DC5D"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2.341</w:t>
            </w:r>
          </w:p>
        </w:tc>
        <w:tc>
          <w:tcPr>
            <w:tcW w:w="84.10pt" w:type="dxa"/>
          </w:tcPr>
          <w:p w14:paraId="206CBED8"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2.268</w:t>
            </w:r>
          </w:p>
        </w:tc>
      </w:tr>
      <w:tr w:rsidR="003A55AF" w14:paraId="44EA672F" w14:textId="77777777" w:rsidTr="003A55AF">
        <w:tc>
          <w:tcPr>
            <w:cnfStyle w:firstRow="0" w:lastRow="0" w:firstColumn="1" w:lastColumn="0" w:oddVBand="0" w:evenVBand="0" w:oddHBand="0" w:evenHBand="0" w:firstRowFirstColumn="0" w:firstRowLastColumn="0" w:lastRowFirstColumn="0" w:lastRowLastColumn="0"/>
            <w:tcW w:w="84.10pt" w:type="dxa"/>
          </w:tcPr>
          <w:p w14:paraId="2B7B280D" w14:textId="77777777" w:rsidR="003A55AF" w:rsidRDefault="00000000">
            <w:r>
              <w:rPr>
                <w:b w:val="0"/>
                <w:sz w:val="16"/>
                <w:szCs w:val="16"/>
              </w:rPr>
              <w:t>Macro contrast</w:t>
            </w:r>
          </w:p>
        </w:tc>
        <w:tc>
          <w:tcPr>
            <w:tcW w:w="84.10pt" w:type="dxa"/>
          </w:tcPr>
          <w:p w14:paraId="2EBC50AB"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Zero increment</w:t>
            </w:r>
          </w:p>
        </w:tc>
        <w:tc>
          <w:tcPr>
            <w:tcW w:w="84.10pt" w:type="dxa"/>
          </w:tcPr>
          <w:p w14:paraId="096F70B7"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2.223</w:t>
            </w:r>
          </w:p>
        </w:tc>
        <w:tc>
          <w:tcPr>
            <w:tcW w:w="84.10pt" w:type="dxa"/>
          </w:tcPr>
          <w:p w14:paraId="1343BFA0"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2.196</w:t>
            </w:r>
          </w:p>
        </w:tc>
        <w:tc>
          <w:tcPr>
            <w:tcW w:w="84.10pt" w:type="dxa"/>
          </w:tcPr>
          <w:p w14:paraId="291B17DF"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2.193</w:t>
            </w:r>
          </w:p>
        </w:tc>
        <w:tc>
          <w:tcPr>
            <w:tcW w:w="84.10pt" w:type="dxa"/>
          </w:tcPr>
          <w:p w14:paraId="0F6F8913"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2.239</w:t>
            </w:r>
          </w:p>
        </w:tc>
      </w:tr>
      <w:tr w:rsidR="003A55AF" w14:paraId="5C9759FC"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84.10pt" w:type="dxa"/>
          </w:tcPr>
          <w:p w14:paraId="6F854246" w14:textId="77777777" w:rsidR="003A55AF" w:rsidRDefault="00000000">
            <w:r>
              <w:rPr>
                <w:b w:val="0"/>
                <w:sz w:val="16"/>
                <w:szCs w:val="16"/>
              </w:rPr>
              <w:t>Macro contrast</w:t>
            </w:r>
          </w:p>
        </w:tc>
        <w:tc>
          <w:tcPr>
            <w:tcW w:w="84.10pt" w:type="dxa"/>
          </w:tcPr>
          <w:p w14:paraId="664C6D37"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VAR</w:t>
            </w:r>
          </w:p>
        </w:tc>
        <w:tc>
          <w:tcPr>
            <w:tcW w:w="84.10pt" w:type="dxa"/>
          </w:tcPr>
          <w:p w14:paraId="1D06C581"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2.539</w:t>
            </w:r>
          </w:p>
        </w:tc>
        <w:tc>
          <w:tcPr>
            <w:tcW w:w="84.10pt" w:type="dxa"/>
          </w:tcPr>
          <w:p w14:paraId="27D39645"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2.378</w:t>
            </w:r>
          </w:p>
        </w:tc>
        <w:tc>
          <w:tcPr>
            <w:tcW w:w="84.10pt" w:type="dxa"/>
          </w:tcPr>
          <w:p w14:paraId="7B389594"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2.275</w:t>
            </w:r>
          </w:p>
        </w:tc>
        <w:tc>
          <w:tcPr>
            <w:tcW w:w="84.10pt" w:type="dxa"/>
          </w:tcPr>
          <w:p w14:paraId="44CF37AA"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2.272</w:t>
            </w:r>
          </w:p>
        </w:tc>
      </w:tr>
    </w:tbl>
    <w:p w14:paraId="35640199" w14:textId="77777777" w:rsidR="003A55AF" w:rsidRDefault="00000000">
      <w:pPr>
        <w:pStyle w:val="BodyText"/>
      </w:pPr>
      <w:r>
        <w:t>QNTUM is effectively tied with simple baselines on Air Quality. On Appliances it improves over zero increment at horizons 3, 6, and 12, while VAR is slightly better at horizons 6 and 12. Zero increment is better on the macroeconomic contrast at every horizon.</w:t>
      </w:r>
    </w:p>
    <w:p w14:paraId="589E1762" w14:textId="77777777" w:rsidR="003A55AF" w:rsidRDefault="00000000">
      <w:pPr>
        <w:pStyle w:val="BodyText"/>
      </w:pPr>
      <w:r>
        <w:t>The 90% conformal interval covered 95.4% of Air Quality outcomes and 86.2% of Appliances outcomes. Coverage on the macroeconomic contrast was 69.8%, indicating distribution shift and model misspecification.</w:t>
      </w:r>
    </w:p>
    <w:p w14:paraId="43F3EB69" w14:textId="77777777" w:rsidR="003A55AF" w:rsidRDefault="00000000">
      <w:pPr>
        <w:pStyle w:val="Heading2"/>
      </w:pPr>
      <w:r>
        <w:t>Ablation: uncapped vs. companion-matrix cap</w:t>
      </w:r>
    </w:p>
    <w:p w14:paraId="7F9AE8B1" w14:textId="77777777" w:rsidR="003A55AF" w:rsidRDefault="00000000">
      <w:pPr>
        <w:pStyle w:val="BodyText"/>
      </w:pPr>
      <w:r>
        <w:t>One hundred eight-variable sparse systems were generated near the stability boundary. Each fitted recurrence was propagated for 100 steps with and without the companion-matrix cap.</w:t>
      </w:r>
    </w:p>
    <w:p w14:paraId="74DDCE6D" w14:textId="77777777" w:rsidR="003A55AF" w:rsidRDefault="00000000">
      <w:pPr>
        <w:pStyle w:val="Caption"/>
      </w:pPr>
      <w:r>
        <w:rPr>
          <w:i w:val="0"/>
        </w:rPr>
        <w:t>Table 6. Stability ablation over 100 near-boundary systems.</w:t>
      </w:r>
    </w:p>
    <w:tbl>
      <w:tblPr>
        <w:tblStyle w:val="PlainTable2"/>
        <w:tblW w:w="0pt" w:type="auto"/>
        <w:tblLook w:firstRow="1" w:lastRow="0" w:firstColumn="1" w:lastColumn="0" w:noHBand="0" w:noVBand="1"/>
      </w:tblPr>
      <w:tblGrid>
        <w:gridCol w:w="1675"/>
        <w:gridCol w:w="1556"/>
        <w:gridCol w:w="1635"/>
      </w:tblGrid>
      <w:tr w:rsidR="003A55AF" w14:paraId="57C83F68" w14:textId="77777777" w:rsidTr="003A55AF">
        <w:trPr>
          <w:cnfStyle w:firstRow="1" w:lastRow="0" w:firstColumn="0" w:lastColumn="0" w:oddVBand="0" w:evenVBand="0" w:oddHBand="0"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68.20pt" w:type="dxa"/>
          </w:tcPr>
          <w:p w14:paraId="7C451CA9" w14:textId="77777777" w:rsidR="003A55AF" w:rsidRDefault="00000000">
            <w:r>
              <w:rPr>
                <w:sz w:val="16"/>
                <w:szCs w:val="16"/>
              </w:rPr>
              <w:t>Quantity</w:t>
            </w:r>
          </w:p>
        </w:tc>
        <w:tc>
          <w:tcPr>
            <w:tcW w:w="168.20pt" w:type="dxa"/>
          </w:tcPr>
          <w:p w14:paraId="02698359"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Uncapped</w:t>
            </w:r>
          </w:p>
        </w:tc>
        <w:tc>
          <w:tcPr>
            <w:tcW w:w="168.20pt" w:type="dxa"/>
          </w:tcPr>
          <w:p w14:paraId="24E09BDD" w14:textId="77777777" w:rsidR="003A55AF" w:rsidRDefault="00000000">
            <w:pPr>
              <w:cnfStyle w:firstRow="1" w:lastRow="0" w:firstColumn="0" w:lastColumn="0" w:oddVBand="0" w:evenVBand="0" w:oddHBand="0" w:evenHBand="0" w:firstRowFirstColumn="0" w:firstRowLastColumn="0" w:lastRowFirstColumn="0" w:lastRowLastColumn="0"/>
            </w:pPr>
            <w:r>
              <w:rPr>
                <w:sz w:val="16"/>
                <w:szCs w:val="16"/>
              </w:rPr>
              <w:t>Companion capped</w:t>
            </w:r>
          </w:p>
        </w:tc>
      </w:tr>
      <w:tr w:rsidR="003A55AF" w14:paraId="1D41C711"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68.20pt" w:type="dxa"/>
          </w:tcPr>
          <w:p w14:paraId="38356C9F" w14:textId="77777777" w:rsidR="003A55AF" w:rsidRDefault="00000000">
            <w:r>
              <w:rPr>
                <w:b w:val="0"/>
                <w:sz w:val="16"/>
                <w:szCs w:val="16"/>
              </w:rPr>
              <w:t>Spectral cap</w:t>
            </w:r>
          </w:p>
        </w:tc>
        <w:tc>
          <w:tcPr>
            <w:tcW w:w="168.20pt" w:type="dxa"/>
          </w:tcPr>
          <w:p w14:paraId="7494E28E"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None</w:t>
            </w:r>
          </w:p>
        </w:tc>
        <w:tc>
          <w:tcPr>
            <w:tcW w:w="168.20pt" w:type="dxa"/>
          </w:tcPr>
          <w:p w14:paraId="0EC456C7"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0.98</w:t>
            </w:r>
          </w:p>
        </w:tc>
      </w:tr>
      <w:tr w:rsidR="003A55AF" w14:paraId="6F9149A2" w14:textId="77777777" w:rsidTr="003A55AF">
        <w:tc>
          <w:tcPr>
            <w:cnfStyle w:firstRow="0" w:lastRow="0" w:firstColumn="1" w:lastColumn="0" w:oddVBand="0" w:evenVBand="0" w:oddHBand="0" w:evenHBand="0" w:firstRowFirstColumn="0" w:firstRowLastColumn="0" w:lastRowFirstColumn="0" w:lastRowLastColumn="0"/>
            <w:tcW w:w="168.20pt" w:type="dxa"/>
          </w:tcPr>
          <w:p w14:paraId="7F7EA88B" w14:textId="77777777" w:rsidR="003A55AF" w:rsidRDefault="00000000">
            <w:r>
              <w:rPr>
                <w:b w:val="0"/>
                <w:sz w:val="16"/>
                <w:szCs w:val="16"/>
              </w:rPr>
              <w:t>Linear lag certificate</w:t>
            </w:r>
          </w:p>
        </w:tc>
        <w:tc>
          <w:tcPr>
            <w:tcW w:w="168.20pt" w:type="dxa"/>
          </w:tcPr>
          <w:p w14:paraId="3914E6BD"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Not enforced</w:t>
            </w:r>
          </w:p>
        </w:tc>
        <w:tc>
          <w:tcPr>
            <w:tcW w:w="168.20pt" w:type="dxa"/>
          </w:tcPr>
          <w:p w14:paraId="71E4BF71"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Enforced</w:t>
            </w:r>
          </w:p>
        </w:tc>
      </w:tr>
      <w:tr w:rsidR="003A55AF" w14:paraId="22B64739" w14:textId="77777777" w:rsidTr="003A55AF">
        <w:trPr>
          <w:cnfStyle w:firstRow="0" w:lastRow="0" w:firstColumn="0" w:lastColumn="0" w:oddVBand="0" w:evenVBand="0" w:oddHBand="1" w:evenHBand="0" w:firstRowFirstColumn="0" w:firstRowLastColumn="0" w:lastRowFirstColumn="0" w:lastRowLastColumn="0"/>
        </w:trPr>
        <w:tc>
          <w:tcPr>
            <w:cnfStyle w:firstRow="0" w:lastRow="0" w:firstColumn="1" w:lastColumn="0" w:oddVBand="0" w:evenVBand="0" w:oddHBand="0" w:evenHBand="0" w:firstRowFirstColumn="0" w:firstRowLastColumn="0" w:lastRowFirstColumn="0" w:lastRowLastColumn="0"/>
            <w:tcW w:w="168.20pt" w:type="dxa"/>
          </w:tcPr>
          <w:p w14:paraId="33C2C829" w14:textId="77777777" w:rsidR="003A55AF" w:rsidRDefault="00000000">
            <w:r>
              <w:rPr>
                <w:b w:val="0"/>
                <w:sz w:val="16"/>
                <w:szCs w:val="16"/>
              </w:rPr>
              <w:t>Greater-than-100-fold growth</w:t>
            </w:r>
          </w:p>
        </w:tc>
        <w:tc>
          <w:tcPr>
            <w:tcW w:w="168.20pt" w:type="dxa"/>
          </w:tcPr>
          <w:p w14:paraId="52858D8F"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Observed</w:t>
            </w:r>
          </w:p>
        </w:tc>
        <w:tc>
          <w:tcPr>
            <w:tcW w:w="168.20pt" w:type="dxa"/>
          </w:tcPr>
          <w:p w14:paraId="6894776C" w14:textId="77777777" w:rsidR="003A55AF" w:rsidRDefault="00000000">
            <w:pPr>
              <w:cnfStyle w:firstRow="0" w:lastRow="0" w:firstColumn="0" w:lastColumn="0" w:oddVBand="0" w:evenVBand="0" w:oddHBand="1" w:evenHBand="0" w:firstRowFirstColumn="0" w:firstRowLastColumn="0" w:lastRowFirstColumn="0" w:lastRowLastColumn="0"/>
            </w:pPr>
            <w:r>
              <w:rPr>
                <w:sz w:val="16"/>
                <w:szCs w:val="16"/>
              </w:rPr>
              <w:t>0 of 100</w:t>
            </w:r>
          </w:p>
        </w:tc>
      </w:tr>
      <w:tr w:rsidR="003A55AF" w14:paraId="36C8DCB5" w14:textId="77777777" w:rsidTr="003A55AF">
        <w:tc>
          <w:tcPr>
            <w:cnfStyle w:firstRow="0" w:lastRow="0" w:firstColumn="1" w:lastColumn="0" w:oddVBand="0" w:evenVBand="0" w:oddHBand="0" w:evenHBand="0" w:firstRowFirstColumn="0" w:firstRowLastColumn="0" w:lastRowFirstColumn="0" w:lastRowLastColumn="0"/>
            <w:tcW w:w="168.20pt" w:type="dxa"/>
          </w:tcPr>
          <w:p w14:paraId="45D71924" w14:textId="77777777" w:rsidR="003A55AF" w:rsidRDefault="00000000">
            <w:r>
              <w:rPr>
                <w:b w:val="0"/>
                <w:sz w:val="16"/>
                <w:szCs w:val="16"/>
              </w:rPr>
              <w:t>Transient amplification reported</w:t>
            </w:r>
          </w:p>
        </w:tc>
        <w:tc>
          <w:tcPr>
            <w:tcW w:w="168.20pt" w:type="dxa"/>
          </w:tcPr>
          <w:p w14:paraId="67EC6633"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Yes</w:t>
            </w:r>
          </w:p>
        </w:tc>
        <w:tc>
          <w:tcPr>
            <w:tcW w:w="168.20pt" w:type="dxa"/>
          </w:tcPr>
          <w:p w14:paraId="7319907C" w14:textId="77777777" w:rsidR="003A55AF" w:rsidRDefault="00000000">
            <w:pPr>
              <w:cnfStyle w:firstRow="0" w:lastRow="0" w:firstColumn="0" w:lastColumn="0" w:oddVBand="0" w:evenVBand="0" w:oddHBand="0" w:evenHBand="0" w:firstRowFirstColumn="0" w:firstRowLastColumn="0" w:lastRowFirstColumn="0" w:lastRowLastColumn="0"/>
            </w:pPr>
            <w:r>
              <w:rPr>
                <w:sz w:val="16"/>
                <w:szCs w:val="16"/>
              </w:rPr>
              <w:t>Yes</w:t>
            </w:r>
          </w:p>
        </w:tc>
      </w:tr>
    </w:tbl>
    <w:p w14:paraId="52C7E8BD" w14:textId="77777777" w:rsidR="003A55AF" w:rsidRDefault="00000000">
      <w:pPr>
        <w:pStyle w:val="BodyText"/>
      </w:pPr>
      <w:r>
        <w:t>The cap removes sustained explosive growth in this experiment. It does not guarantee monotone decay, and transient amplification remains possible.</w:t>
      </w:r>
    </w:p>
    <w:p w14:paraId="5A388475" w14:textId="77777777" w:rsidR="003A55AF" w:rsidRDefault="00000000">
      <w:pPr>
        <w:pStyle w:val="Heading2"/>
      </w:pPr>
      <w:r>
        <w:t>What the evaluation licenses</w:t>
      </w:r>
    </w:p>
    <w:p w14:paraId="453E68A0" w14:textId="77777777" w:rsidR="003A55AF" w:rsidRDefault="00000000">
      <w:pPr>
        <w:pStyle w:val="BodyText"/>
      </w:pPr>
      <w:r>
        <w:t>The evaluation supports four conclusions:</w:t>
      </w:r>
    </w:p>
    <w:p w14:paraId="0640A017" w14:textId="77777777" w:rsidR="003A55AF" w:rsidRDefault="00000000">
      <w:pPr>
        <w:pStyle w:val="bulletlist"/>
      </w:pPr>
      <w:r>
        <w:lastRenderedPageBreak/>
        <w:t>Correct fixed relationships improve support recovery and coefficient accuracy.</w:t>
      </w:r>
    </w:p>
    <w:p w14:paraId="784A3D49" w14:textId="77777777" w:rsidR="003A55AF" w:rsidRDefault="00000000">
      <w:pPr>
        <w:pStyle w:val="bulletlist"/>
      </w:pPr>
      <w:r>
        <w:t>A small fraction of incorrect pins degrades coefficient quality.</w:t>
      </w:r>
    </w:p>
    <w:p w14:paraId="531E1CCB" w14:textId="77777777" w:rsidR="003A55AF" w:rsidRDefault="00000000">
      <w:pPr>
        <w:pStyle w:val="bulletlist"/>
      </w:pPr>
      <w:r>
        <w:t>The companion-matrix cap controls the executed linear lag recurrence in the tested systems.</w:t>
      </w:r>
    </w:p>
    <w:p w14:paraId="45437A94" w14:textId="77777777" w:rsidR="003A55AF" w:rsidRDefault="00000000">
      <w:pPr>
        <w:pStyle w:val="bulletlist"/>
      </w:pPr>
      <w:r>
        <w:t>Declared event timing is implemented correctly in a controlled two-channel test, where the specified envelope achieved MAE 0.0148 compared with 0.2642 for an always-on response.</w:t>
      </w:r>
    </w:p>
    <w:p w14:paraId="48C249A5" w14:textId="77777777" w:rsidR="003A55AF" w:rsidRDefault="00000000">
      <w:pPr>
        <w:pStyle w:val="BodyText"/>
      </w:pPr>
      <w:r>
        <w:t>The evaluation does not support a universal forecasting advantage, automatic event discovery, causal interpretation of discovered entries, or formal stability of unrestricted nonlinear formulas.</w:t>
      </w:r>
    </w:p>
    <w:p w14:paraId="60901C86" w14:textId="77777777" w:rsidR="003A55AF" w:rsidRDefault="00000000">
      <w:pPr>
        <w:pStyle w:val="BodyText"/>
      </w:pPr>
      <w:r>
        <w:t>Reproduction requires:</w:t>
      </w:r>
    </w:p>
    <w:p w14:paraId="13A33BDD" w14:textId="77777777" w:rsidR="003A55AF" w:rsidRDefault="00000000">
      <w:pPr>
        <w:pStyle w:val="Heading1"/>
      </w:pPr>
      <w:r>
        <w:t>Discussion</w:t>
      </w:r>
    </w:p>
    <w:p w14:paraId="783C586F" w14:textId="77777777" w:rsidR="003A55AF" w:rsidRDefault="00000000">
      <w:pPr>
        <w:pStyle w:val="Heading2"/>
      </w:pPr>
      <w:r>
        <w:t>What the architecture buys</w:t>
      </w:r>
    </w:p>
    <w:p w14:paraId="3E19A1A5" w14:textId="77777777" w:rsidR="003A55AF" w:rsidRDefault="00000000">
      <w:pPr>
        <w:pStyle w:val="BodyText"/>
      </w:pPr>
      <w:r>
        <w:t>The influence store provides local inspection and control. Each relationship can be read, constrained, removed, or compared with prior knowledge. The same store supplies the coefficient blocks used by the stability calculation, reducing the gap between the model shown to the analyst and the model executed by the simulator.</w:t>
      </w:r>
    </w:p>
    <w:p w14:paraId="785B126D" w14:textId="77777777" w:rsidR="003A55AF" w:rsidRDefault="00000000">
      <w:pPr>
        <w:pStyle w:val="BodyText"/>
      </w:pPr>
      <w:r>
        <w:t>Correct pins improve structural recovery in the controlled study. The absence of a comparable forecast improvement indicates that editability and graph recovery, rather than raw predictive accuracy, are the principal benefits established here.</w:t>
      </w:r>
    </w:p>
    <w:p w14:paraId="58DED77B" w14:textId="77777777" w:rsidR="003A55AF" w:rsidRDefault="00000000">
      <w:pPr>
        <w:pStyle w:val="Heading2"/>
      </w:pPr>
      <w:r>
        <w:t>Where the model fits</w:t>
      </w:r>
    </w:p>
    <w:p w14:paraId="77FD7B7F" w14:textId="77777777" w:rsidR="003A55AF" w:rsidRDefault="00000000">
      <w:pPr>
        <w:pStyle w:val="BodyText"/>
      </w:pPr>
      <w:r>
        <w:t>QNTUM is suited to small coupled systems in which some relationships can be defended and individual entries must remain auditable. Candidate applications include instrumented processes, laboratory systems, environmental sensor networks, and scenario analysis with declared event timing.</w:t>
      </w:r>
    </w:p>
    <w:p w14:paraId="5277B3F7" w14:textId="77777777" w:rsidR="003A55AF" w:rsidRDefault="00000000">
      <w:pPr>
        <w:pStyle w:val="BodyText"/>
      </w:pPr>
      <w:r>
        <w:t>The model is not suited to settings in which no stable relationship store can be justified, long unknown lag structures dominate, or predictive accuracy is the only criterion. The macroeconomic contrast illustrates this boundary.</w:t>
      </w:r>
    </w:p>
    <w:p w14:paraId="553FFC19" w14:textId="77777777" w:rsidR="003A55AF" w:rsidRDefault="00000000">
      <w:pPr>
        <w:pStyle w:val="Heading2"/>
      </w:pPr>
      <w:r>
        <w:t>Limitations</w:t>
      </w:r>
    </w:p>
    <w:p w14:paraId="12B71E1B" w14:textId="77777777" w:rsidR="003A55AF" w:rsidRDefault="00000000">
      <w:pPr>
        <w:pStyle w:val="bulletlist"/>
      </w:pPr>
      <w:r>
        <w:t>The repeated structural study uses five-variable linear systems.</w:t>
      </w:r>
    </w:p>
    <w:p w14:paraId="160AAF2E" w14:textId="77777777" w:rsidR="003A55AF" w:rsidRDefault="00000000">
      <w:pPr>
        <w:pStyle w:val="bulletlist"/>
      </w:pPr>
      <w:r>
        <w:t>The nonlinear product and formula library lacks a repeated recovery experiment.</w:t>
      </w:r>
    </w:p>
    <w:p w14:paraId="32EF221F" w14:textId="77777777" w:rsidR="003A55AF" w:rsidRDefault="00000000">
      <w:pPr>
        <w:pStyle w:val="bulletlist"/>
      </w:pPr>
      <w:r>
        <w:t>The observed datasets are sensor and building panels rather than controlled interventions.</w:t>
      </w:r>
    </w:p>
    <w:p w14:paraId="1AFCD1C3" w14:textId="77777777" w:rsidR="003A55AF" w:rsidRDefault="00000000">
      <w:pPr>
        <w:pStyle w:val="bulletlist"/>
      </w:pPr>
      <w:r>
        <w:t>The main constraint study varies fixed pins; sign and interval constraints require separate sensitivity experiments.</w:t>
      </w:r>
    </w:p>
    <w:p w14:paraId="7007D8CA" w14:textId="77777777" w:rsidR="003A55AF" w:rsidRDefault="00000000">
      <w:pPr>
        <w:pStyle w:val="bulletlist"/>
      </w:pPr>
      <w:r>
        <w:t>The 10% incorrect-pin condition is insufficient to locate a sharp failure boundary.</w:t>
      </w:r>
    </w:p>
    <w:p w14:paraId="7814AB00" w14:textId="77777777" w:rsidR="003A55AF" w:rsidRDefault="00000000">
      <w:pPr>
        <w:pStyle w:val="bulletlist"/>
      </w:pPr>
      <w:r>
        <w:t>Candidate admission remains sensitive to correlated predictors.</w:t>
      </w:r>
    </w:p>
    <w:p w14:paraId="4BF11550" w14:textId="77777777" w:rsidR="003A55AF" w:rsidRDefault="00000000">
      <w:pPr>
        <w:pStyle w:val="bulletlist"/>
      </w:pPr>
      <w:r>
        <w:t>Stability certification applies to linear lagged terms only.</w:t>
      </w:r>
    </w:p>
    <w:p w14:paraId="7ACB70B5" w14:textId="77777777" w:rsidR="003A55AF" w:rsidRDefault="00000000">
      <w:pPr>
        <w:pStyle w:val="bulletlist"/>
      </w:pPr>
      <w:r>
        <w:t>Temporal conformal coverage may fail under distribution shift.</w:t>
      </w:r>
    </w:p>
    <w:p w14:paraId="69AFB701" w14:textId="77777777" w:rsidR="003A55AF" w:rsidRDefault="00000000">
      <w:pPr>
        <w:pStyle w:val="bulletlist"/>
      </w:pPr>
      <w:r>
        <w:t>Event timing is declared rather than discovered.</w:t>
      </w:r>
    </w:p>
    <w:p w14:paraId="150C86BF" w14:textId="77777777" w:rsidR="003A55AF" w:rsidRDefault="00000000">
      <w:pPr>
        <w:pStyle w:val="bulletlist"/>
      </w:pPr>
      <w:r>
        <w:t>Human usability has not been measured.</w:t>
      </w:r>
    </w:p>
    <w:p w14:paraId="1C99F7A6" w14:textId="77777777" w:rsidR="003A55AF" w:rsidRDefault="00000000">
      <w:pPr>
        <w:pStyle w:val="Heading1"/>
      </w:pPr>
      <w:r>
        <w:t>Conclusion and Future Work</w:t>
      </w:r>
    </w:p>
    <w:p w14:paraId="59BE5FDD" w14:textId="77777777" w:rsidR="003A55AF" w:rsidRDefault="00000000">
      <w:pPr>
        <w:pStyle w:val="BodyText"/>
      </w:pPr>
      <w:r>
        <w:t>QNTUM combines exact expert restrictions, sparse complementary estimation, event timing, and lag-aware stability assessment in one named relationship store. Correct partial knowledge improves structural recovery and coefficient accuracy across repeated controlled systems. The same experiments show little change in six-step forecast error, and observed-panel comparisons do not establish uniform superiority over transparent baselines.</w:t>
      </w:r>
    </w:p>
    <w:p w14:paraId="777082D7" w14:textId="77777777" w:rsidR="003A55AF" w:rsidRDefault="00000000">
      <w:pPr>
        <w:pStyle w:val="BodyText"/>
      </w:pPr>
      <w:r>
        <w:t>Future work should proceed in the following order:</w:t>
      </w:r>
    </w:p>
    <w:p w14:paraId="32585EFA" w14:textId="77777777" w:rsidR="003A55AF" w:rsidRDefault="00000000">
      <w:pPr>
        <w:pStyle w:val="bulletlist"/>
      </w:pPr>
      <w:r>
        <w:t>Measure nonlinear term recovery across noise levels, sample sizes, and initial conditions.</w:t>
      </w:r>
    </w:p>
    <w:p w14:paraId="034073D1" w14:textId="77777777" w:rsidR="003A55AF" w:rsidRDefault="00000000">
      <w:pPr>
        <w:pStyle w:val="bulletlist"/>
      </w:pPr>
      <w:r>
        <w:t>Extend incorrect-pin experiments from mild sign errors to omitted, spurious, and strongly misspecified constraints.</w:t>
      </w:r>
    </w:p>
    <w:p w14:paraId="5AA7C7FB" w14:textId="77777777" w:rsidR="003A55AF" w:rsidRDefault="00000000">
      <w:pPr>
        <w:pStyle w:val="bulletlist"/>
      </w:pPr>
      <w:r>
        <w:t>Evaluate sign and interval constraints separately from fixed-value pins.</w:t>
      </w:r>
    </w:p>
    <w:p w14:paraId="71AFC4B8" w14:textId="77777777" w:rsidR="003A55AF" w:rsidRDefault="00000000">
      <w:pPr>
        <w:pStyle w:val="bulletlist"/>
      </w:pPr>
      <w:r>
        <w:t>Add observed intervention datasets for the event envelope.</w:t>
      </w:r>
    </w:p>
    <w:p w14:paraId="7F1AC432" w14:textId="77777777" w:rsidR="003A55AF" w:rsidRDefault="00000000">
      <w:pPr>
        <w:pStyle w:val="bulletlist"/>
      </w:pPr>
      <w:r>
        <w:t>Develop domain-bounded certificates for supported nonlinear features.</w:t>
      </w:r>
    </w:p>
    <w:p w14:paraId="40E5AE05" w14:textId="77777777" w:rsidR="003A55AF" w:rsidRDefault="00000000">
      <w:pPr>
        <w:pStyle w:val="bulletlist"/>
      </w:pPr>
      <w:r>
        <w:t>Evaluate editability with domain experts before making usability claims.</w:t>
      </w:r>
    </w:p>
    <w:p w14:paraId="4651D965" w14:textId="77777777" w:rsidR="003A55AF" w:rsidRDefault="00000000">
      <w:pPr>
        <w:pStyle w:val="BodyText"/>
      </w:pPr>
      <w:r>
        <w:t>The demonstrated contribution is an auditable expert-constrained dynamics representation. Broader forecasting claims require consistent gains over equally constrained baselines on additional observed systems.</w:t>
      </w:r>
    </w:p>
    <w:p w14:paraId="4D0DE0E4" w14:textId="77777777" w:rsidR="003A55AF" w:rsidRDefault="00000000">
      <w:pPr>
        <w:pStyle w:val="BodyText"/>
      </w:pPr>
      <w:r>
        <w:rPr>
          <w:b/>
        </w:rPr>
        <w:t>Code availability.</w:t>
      </w:r>
      <w:r>
        <w:t xml:space="preserve"> Source code and the reproducible experiment pipeline are available at https://github.com/yoctobe/qntum/.</w:t>
      </w:r>
    </w:p>
    <w:p w14:paraId="28796591" w14:textId="77777777" w:rsidR="003A55AF" w:rsidRDefault="00000000">
      <w:pPr>
        <w:pStyle w:val="Heading1"/>
      </w:pPr>
      <w:r>
        <w:t>References</w:t>
      </w:r>
    </w:p>
    <w:sdt>
      <w:sdtPr>
        <w:id w:val="-1550073829"/>
        <w:docPartObj>
          <w:docPartGallery w:val="Bibliographies"/>
          <w:docPartUnique/>
        </w:docPartObj>
      </w:sdtPr>
      <w:sdtContent>
        <w:p w14:paraId="543A443D" w14:textId="77777777" w:rsidR="003A55AF" w:rsidRDefault="00000000">
          <w:r>
            <w:fldChar w:fldCharType="begin"/>
          </w:r>
          <w:r>
            <w:instrText xml:space="preserve"> BIBLIOGRAPHY </w:instrText>
          </w:r>
          <w:r>
            <w:fldChar w:fldCharType="separate"/>
          </w:r>
        </w:p>
        <w:tbl>
          <w:tblPr>
            <w:tblW w:w="100.0%" w:type="pct"/>
            <w:tblCellSpacing w:w="0.75pt" w:type="dxa"/>
            <w:tblCellMar>
              <w:top w:w="0.75pt" w:type="dxa"/>
              <w:start w:w="0.75pt" w:type="dxa"/>
              <w:bottom w:w="0.75pt" w:type="dxa"/>
              <w:end w:w="0.75pt" w:type="dxa"/>
            </w:tblCellMar>
            <w:tblLook w:firstRow="1" w:lastRow="0" w:firstColumn="1" w:lastColumn="0" w:noHBand="0" w:noVBand="1"/>
          </w:tblPr>
          <w:tblGrid>
            <w:gridCol w:w="451"/>
            <w:gridCol w:w="4415"/>
          </w:tblGrid>
          <w:tr w:rsidR="003A55AF" w14:paraId="455A63BB" w14:textId="77777777">
            <w:trPr>
              <w:tblCellSpacing w:w="0.75pt" w:type="dxa"/>
            </w:trPr>
            <w:tc>
              <w:tcPr>
                <w:tcW w:w="20.45pt" w:type="dxa"/>
              </w:tcPr>
              <w:p w14:paraId="5A58CCD2" w14:textId="77777777" w:rsidR="003A55AF" w:rsidRDefault="00000000">
                <w:pPr>
                  <w:pStyle w:val="Bibliography"/>
                </w:pPr>
                <w:r>
                  <w:rPr>
                    <w:sz w:val="18"/>
                    <w:szCs w:val="18"/>
                  </w:rPr>
                  <w:t xml:space="preserve">[1] </w:t>
                </w:r>
              </w:p>
            </w:tc>
            <w:tc>
              <w:tcPr>
                <w:tcW w:w="222.85pt" w:type="dxa"/>
              </w:tcPr>
              <w:p w14:paraId="1BB68D60" w14:textId="77777777" w:rsidR="003A55AF" w:rsidRDefault="00000000">
                <w:pPr>
                  <w:pStyle w:val="Bibliography"/>
                </w:pPr>
                <w:r>
                  <w:rPr>
                    <w:sz w:val="18"/>
                    <w:szCs w:val="18"/>
                  </w:rPr>
                  <w:t xml:space="preserve">C. A. Sims, "Macroeconomics and reality," </w:t>
                </w:r>
                <w:r>
                  <w:rPr>
                    <w:i/>
                    <w:sz w:val="18"/>
                    <w:szCs w:val="18"/>
                  </w:rPr>
                  <w:t>Econometrica</w:t>
                </w:r>
                <w:r>
                  <w:rPr>
                    <w:sz w:val="18"/>
                    <w:szCs w:val="18"/>
                  </w:rPr>
                  <w:t>, vol. 48, no. 1, pp. 1-48, 1980, doi: 10.2307/1912017.</w:t>
                </w:r>
              </w:p>
            </w:tc>
          </w:tr>
          <w:tr w:rsidR="003A55AF" w14:paraId="5F324F82" w14:textId="77777777">
            <w:trPr>
              <w:tblCellSpacing w:w="0.75pt" w:type="dxa"/>
            </w:trPr>
            <w:tc>
              <w:tcPr>
                <w:tcW w:w="20.45pt" w:type="dxa"/>
              </w:tcPr>
              <w:p w14:paraId="37B0DE31" w14:textId="77777777" w:rsidR="003A55AF" w:rsidRDefault="00000000">
                <w:pPr>
                  <w:pStyle w:val="Bibliography"/>
                </w:pPr>
                <w:r>
                  <w:rPr>
                    <w:sz w:val="18"/>
                    <w:szCs w:val="18"/>
                  </w:rPr>
                  <w:t xml:space="preserve">[2] </w:t>
                </w:r>
              </w:p>
            </w:tc>
            <w:tc>
              <w:tcPr>
                <w:tcW w:w="222.85pt" w:type="dxa"/>
              </w:tcPr>
              <w:p w14:paraId="1748CECD" w14:textId="77777777" w:rsidR="003A55AF" w:rsidRDefault="00000000">
                <w:pPr>
                  <w:pStyle w:val="Bibliography"/>
                </w:pPr>
                <w:r>
                  <w:rPr>
                    <w:sz w:val="18"/>
                    <w:szCs w:val="18"/>
                  </w:rPr>
                  <w:t xml:space="preserve">H. Lütkepohl, </w:t>
                </w:r>
                <w:r>
                  <w:rPr>
                    <w:i/>
                    <w:sz w:val="18"/>
                    <w:szCs w:val="18"/>
                  </w:rPr>
                  <w:t>New Introduction to Multiple Time Series Analysis</w:t>
                </w:r>
                <w:r>
                  <w:rPr>
                    <w:sz w:val="18"/>
                    <w:szCs w:val="18"/>
                  </w:rPr>
                  <w:t>. Berlin, Germany: Springer, 2005.</w:t>
                </w:r>
              </w:p>
            </w:tc>
          </w:tr>
          <w:tr w:rsidR="003A55AF" w14:paraId="09EC120D" w14:textId="77777777">
            <w:trPr>
              <w:tblCellSpacing w:w="0.75pt" w:type="dxa"/>
            </w:trPr>
            <w:tc>
              <w:tcPr>
                <w:tcW w:w="20.45pt" w:type="dxa"/>
              </w:tcPr>
              <w:p w14:paraId="2821218B" w14:textId="77777777" w:rsidR="003A55AF" w:rsidRDefault="00000000">
                <w:pPr>
                  <w:pStyle w:val="Bibliography"/>
                </w:pPr>
                <w:r>
                  <w:rPr>
                    <w:sz w:val="18"/>
                    <w:szCs w:val="18"/>
                  </w:rPr>
                  <w:t xml:space="preserve">[3] </w:t>
                </w:r>
              </w:p>
            </w:tc>
            <w:tc>
              <w:tcPr>
                <w:tcW w:w="222.85pt" w:type="dxa"/>
              </w:tcPr>
              <w:p w14:paraId="1A1099E1" w14:textId="77777777" w:rsidR="003A55AF" w:rsidRDefault="00000000">
                <w:pPr>
                  <w:pStyle w:val="Bibliography"/>
                </w:pPr>
                <w:r>
                  <w:rPr>
                    <w:sz w:val="18"/>
                    <w:szCs w:val="18"/>
                  </w:rPr>
                  <w:t xml:space="preserve">R. Tibshirani, "Regression shrinkage and selection via the lasso," </w:t>
                </w:r>
                <w:r>
                  <w:rPr>
                    <w:i/>
                    <w:sz w:val="18"/>
                    <w:szCs w:val="18"/>
                  </w:rPr>
                  <w:t>J. Roy. Statist. Soc. Ser. B</w:t>
                </w:r>
                <w:r>
                  <w:rPr>
                    <w:sz w:val="18"/>
                    <w:szCs w:val="18"/>
                  </w:rPr>
                  <w:t>, vol. 58, no. 1, pp. 267-288, 1996, doi: 10.1111/j.2517-6161.1996.tb02080.x.</w:t>
                </w:r>
              </w:p>
            </w:tc>
          </w:tr>
          <w:tr w:rsidR="003A55AF" w14:paraId="3A3BC4EF" w14:textId="77777777">
            <w:trPr>
              <w:tblCellSpacing w:w="0.75pt" w:type="dxa"/>
            </w:trPr>
            <w:tc>
              <w:tcPr>
                <w:tcW w:w="20.45pt" w:type="dxa"/>
              </w:tcPr>
              <w:p w14:paraId="407D30E0" w14:textId="77777777" w:rsidR="003A55AF" w:rsidRDefault="00000000">
                <w:pPr>
                  <w:pStyle w:val="Bibliography"/>
                </w:pPr>
                <w:r>
                  <w:rPr>
                    <w:sz w:val="18"/>
                    <w:szCs w:val="18"/>
                  </w:rPr>
                  <w:t xml:space="preserve">[4] </w:t>
                </w:r>
              </w:p>
            </w:tc>
            <w:tc>
              <w:tcPr>
                <w:tcW w:w="222.85pt" w:type="dxa"/>
              </w:tcPr>
              <w:p w14:paraId="1DC8C50A" w14:textId="77777777" w:rsidR="003A55AF" w:rsidRDefault="00000000">
                <w:pPr>
                  <w:pStyle w:val="Bibliography"/>
                </w:pPr>
                <w:r>
                  <w:rPr>
                    <w:sz w:val="18"/>
                    <w:szCs w:val="18"/>
                  </w:rPr>
                  <w:t xml:space="preserve">W. B. Nicholson, D. S. Matteson, and J. Bien, "VARX-L: Structured regularization for large vector autoregressions with exogenous variables," </w:t>
                </w:r>
                <w:r>
                  <w:rPr>
                    <w:i/>
                    <w:sz w:val="18"/>
                    <w:szCs w:val="18"/>
                  </w:rPr>
                  <w:t>Int. J. Forecasting</w:t>
                </w:r>
                <w:r>
                  <w:rPr>
                    <w:sz w:val="18"/>
                    <w:szCs w:val="18"/>
                  </w:rPr>
                  <w:t>, vol. 33, no. 3, pp. 627-651, 2017, doi: 10.1016/j.ijforecast.2016.05.003.</w:t>
                </w:r>
              </w:p>
            </w:tc>
          </w:tr>
          <w:tr w:rsidR="003A55AF" w14:paraId="41E96261" w14:textId="77777777">
            <w:trPr>
              <w:tblCellSpacing w:w="0.75pt" w:type="dxa"/>
            </w:trPr>
            <w:tc>
              <w:tcPr>
                <w:tcW w:w="20.45pt" w:type="dxa"/>
              </w:tcPr>
              <w:p w14:paraId="21FED66C" w14:textId="77777777" w:rsidR="003A55AF" w:rsidRDefault="00000000">
                <w:pPr>
                  <w:pStyle w:val="Bibliography"/>
                </w:pPr>
                <w:r>
                  <w:rPr>
                    <w:sz w:val="18"/>
                    <w:szCs w:val="18"/>
                  </w:rPr>
                  <w:t xml:space="preserve">[5] </w:t>
                </w:r>
              </w:p>
            </w:tc>
            <w:tc>
              <w:tcPr>
                <w:tcW w:w="222.85pt" w:type="dxa"/>
              </w:tcPr>
              <w:p w14:paraId="4874BFA8" w14:textId="77777777" w:rsidR="003A55AF" w:rsidRDefault="00000000">
                <w:pPr>
                  <w:pStyle w:val="Bibliography"/>
                </w:pPr>
                <w:r>
                  <w:rPr>
                    <w:sz w:val="18"/>
                    <w:szCs w:val="18"/>
                  </w:rPr>
                  <w:t xml:space="preserve">S. L. Brunton, J. L. Proctor, and J. N. Kutz, "Discovering governing equations from data by sparse identification of nonlinear dynamical systems," </w:t>
                </w:r>
                <w:r>
                  <w:rPr>
                    <w:i/>
                    <w:sz w:val="18"/>
                    <w:szCs w:val="18"/>
                  </w:rPr>
                  <w:t>Proc. Natl. Acad. Sci. U.S.A.</w:t>
                </w:r>
                <w:r>
                  <w:rPr>
                    <w:sz w:val="18"/>
                    <w:szCs w:val="18"/>
                  </w:rPr>
                  <w:t>, vol. 113, no. 15, pp. 3932-3937, 2016, doi: 10.1073/pnas.1517384113.</w:t>
                </w:r>
              </w:p>
            </w:tc>
          </w:tr>
          <w:tr w:rsidR="003A55AF" w14:paraId="677030AD" w14:textId="77777777">
            <w:trPr>
              <w:tblCellSpacing w:w="0.75pt" w:type="dxa"/>
            </w:trPr>
            <w:tc>
              <w:tcPr>
                <w:tcW w:w="20.45pt" w:type="dxa"/>
              </w:tcPr>
              <w:p w14:paraId="316FEE9E" w14:textId="77777777" w:rsidR="003A55AF" w:rsidRDefault="00000000">
                <w:pPr>
                  <w:pStyle w:val="Bibliography"/>
                </w:pPr>
                <w:r>
                  <w:rPr>
                    <w:sz w:val="18"/>
                    <w:szCs w:val="18"/>
                  </w:rPr>
                  <w:lastRenderedPageBreak/>
                  <w:t xml:space="preserve">[6] </w:t>
                </w:r>
              </w:p>
            </w:tc>
            <w:tc>
              <w:tcPr>
                <w:tcW w:w="222.85pt" w:type="dxa"/>
              </w:tcPr>
              <w:p w14:paraId="2E21F2E6" w14:textId="77777777" w:rsidR="003A55AF" w:rsidRDefault="00000000">
                <w:pPr>
                  <w:pStyle w:val="Bibliography"/>
                </w:pPr>
                <w:r>
                  <w:rPr>
                    <w:sz w:val="18"/>
                    <w:szCs w:val="18"/>
                  </w:rPr>
                  <w:t xml:space="preserve">K. Champion, P. Zheng, A. Y. Aravkin, S. L. Brunton, and J. N. Kutz, "A unified sparse optimization framework to learn parsimonious physics-informed models from data," </w:t>
                </w:r>
                <w:r>
                  <w:rPr>
                    <w:i/>
                    <w:sz w:val="18"/>
                    <w:szCs w:val="18"/>
                  </w:rPr>
                  <w:t>IEEE Access</w:t>
                </w:r>
                <w:r>
                  <w:rPr>
                    <w:sz w:val="18"/>
                    <w:szCs w:val="18"/>
                  </w:rPr>
                  <w:t>, vol. 8, pp. 169259-169271, 2020, doi: 10.1109/ACCESS.2020.3023625.</w:t>
                </w:r>
              </w:p>
            </w:tc>
          </w:tr>
          <w:tr w:rsidR="003A55AF" w14:paraId="62637F93" w14:textId="77777777">
            <w:trPr>
              <w:tblCellSpacing w:w="0.75pt" w:type="dxa"/>
            </w:trPr>
            <w:tc>
              <w:tcPr>
                <w:tcW w:w="20.45pt" w:type="dxa"/>
              </w:tcPr>
              <w:p w14:paraId="560855DB" w14:textId="77777777" w:rsidR="003A55AF" w:rsidRDefault="00000000">
                <w:pPr>
                  <w:pStyle w:val="Bibliography"/>
                </w:pPr>
                <w:r>
                  <w:rPr>
                    <w:sz w:val="18"/>
                    <w:szCs w:val="18"/>
                  </w:rPr>
                  <w:t xml:space="preserve">[7] </w:t>
                </w:r>
              </w:p>
            </w:tc>
            <w:tc>
              <w:tcPr>
                <w:tcW w:w="222.85pt" w:type="dxa"/>
              </w:tcPr>
              <w:p w14:paraId="18D299D0" w14:textId="77777777" w:rsidR="003A55AF" w:rsidRDefault="00000000">
                <w:pPr>
                  <w:pStyle w:val="Bibliography"/>
                </w:pPr>
                <w:r>
                  <w:rPr>
                    <w:sz w:val="18"/>
                    <w:szCs w:val="18"/>
                  </w:rPr>
                  <w:t xml:space="preserve">A. G. Hawkes, "Spectra of some self-exciting and mutually exciting point processes," </w:t>
                </w:r>
                <w:r>
                  <w:rPr>
                    <w:i/>
                    <w:sz w:val="18"/>
                    <w:szCs w:val="18"/>
                  </w:rPr>
                  <w:t>Biometrika</w:t>
                </w:r>
                <w:r>
                  <w:rPr>
                    <w:sz w:val="18"/>
                    <w:szCs w:val="18"/>
                  </w:rPr>
                  <w:t>, vol. 58, no. 1, pp. 83-90, 1971, doi: 10.1093/biomet/58.1.83.</w:t>
                </w:r>
              </w:p>
            </w:tc>
          </w:tr>
          <w:tr w:rsidR="003A55AF" w14:paraId="0CEC8F06" w14:textId="77777777">
            <w:trPr>
              <w:tblCellSpacing w:w="0.75pt" w:type="dxa"/>
            </w:trPr>
            <w:tc>
              <w:tcPr>
                <w:tcW w:w="20.45pt" w:type="dxa"/>
              </w:tcPr>
              <w:p w14:paraId="1E222164" w14:textId="77777777" w:rsidR="003A55AF" w:rsidRDefault="00000000">
                <w:pPr>
                  <w:pStyle w:val="Bibliography"/>
                </w:pPr>
                <w:r>
                  <w:rPr>
                    <w:sz w:val="18"/>
                    <w:szCs w:val="18"/>
                  </w:rPr>
                  <w:t xml:space="preserve">[8] </w:t>
                </w:r>
              </w:p>
            </w:tc>
            <w:tc>
              <w:tcPr>
                <w:tcW w:w="222.85pt" w:type="dxa"/>
              </w:tcPr>
              <w:p w14:paraId="1E67BDE4" w14:textId="77777777" w:rsidR="003A55AF" w:rsidRDefault="00000000">
                <w:pPr>
                  <w:pStyle w:val="Bibliography"/>
                </w:pPr>
                <w:r>
                  <w:rPr>
                    <w:sz w:val="18"/>
                    <w:szCs w:val="18"/>
                  </w:rPr>
                  <w:t xml:space="preserve">D. Salinas, V. Flunkert, J. Gasthaus, and T. Januschowski, "DeepAR: Probabilistic forecasting with autoregressive recurrent networks," </w:t>
                </w:r>
                <w:r>
                  <w:rPr>
                    <w:i/>
                    <w:sz w:val="18"/>
                    <w:szCs w:val="18"/>
                  </w:rPr>
                  <w:t>Int. J. Forecasting</w:t>
                </w:r>
                <w:r>
                  <w:rPr>
                    <w:sz w:val="18"/>
                    <w:szCs w:val="18"/>
                  </w:rPr>
                  <w:t>, vol. 36, no. 3, pp. 1181-1191, 2020, doi: 10.1016/j.ijforecast.2019.07.001.</w:t>
                </w:r>
              </w:p>
            </w:tc>
          </w:tr>
          <w:tr w:rsidR="003A55AF" w14:paraId="617F1502" w14:textId="77777777">
            <w:trPr>
              <w:tblCellSpacing w:w="0.75pt" w:type="dxa"/>
            </w:trPr>
            <w:tc>
              <w:tcPr>
                <w:tcW w:w="20.45pt" w:type="dxa"/>
              </w:tcPr>
              <w:p w14:paraId="6A379FAF" w14:textId="77777777" w:rsidR="003A55AF" w:rsidRDefault="00000000">
                <w:pPr>
                  <w:pStyle w:val="Bibliography"/>
                </w:pPr>
                <w:r>
                  <w:rPr>
                    <w:sz w:val="18"/>
                    <w:szCs w:val="18"/>
                  </w:rPr>
                  <w:t xml:space="preserve">[9] </w:t>
                </w:r>
              </w:p>
            </w:tc>
            <w:tc>
              <w:tcPr>
                <w:tcW w:w="222.85pt" w:type="dxa"/>
              </w:tcPr>
              <w:p w14:paraId="72F5F9DA" w14:textId="77777777" w:rsidR="003A55AF" w:rsidRDefault="00000000">
                <w:pPr>
                  <w:pStyle w:val="Bibliography"/>
                </w:pPr>
                <w:r>
                  <w:rPr>
                    <w:sz w:val="18"/>
                    <w:szCs w:val="18"/>
                  </w:rPr>
                  <w:t xml:space="preserve">S. Makridakis, E. Spiliotis, and V. Assimakopoulos, "The M4 competition: 100,000 time series and 61 forecasting methods," </w:t>
                </w:r>
                <w:r>
                  <w:rPr>
                    <w:i/>
                    <w:sz w:val="18"/>
                    <w:szCs w:val="18"/>
                  </w:rPr>
                  <w:t>Int. J. Forecasting</w:t>
                </w:r>
                <w:r>
                  <w:rPr>
                    <w:sz w:val="18"/>
                    <w:szCs w:val="18"/>
                  </w:rPr>
                  <w:t>, vol. 36, no. 1, pp. 54-74, 2020, doi: 10.1016/j.ijforecast.2019.04.014.</w:t>
                </w:r>
              </w:p>
            </w:tc>
          </w:tr>
          <w:tr w:rsidR="003A55AF" w14:paraId="040158AB" w14:textId="77777777">
            <w:trPr>
              <w:tblCellSpacing w:w="0.75pt" w:type="dxa"/>
            </w:trPr>
            <w:tc>
              <w:tcPr>
                <w:tcW w:w="20.45pt" w:type="dxa"/>
              </w:tcPr>
              <w:p w14:paraId="6355CE75" w14:textId="77777777" w:rsidR="003A55AF" w:rsidRDefault="00000000">
                <w:pPr>
                  <w:pStyle w:val="Bibliography"/>
                </w:pPr>
                <w:r>
                  <w:rPr>
                    <w:sz w:val="18"/>
                    <w:szCs w:val="18"/>
                  </w:rPr>
                  <w:t xml:space="preserve">[10] </w:t>
                </w:r>
              </w:p>
            </w:tc>
            <w:tc>
              <w:tcPr>
                <w:tcW w:w="222.85pt" w:type="dxa"/>
              </w:tcPr>
              <w:p w14:paraId="6DDE4B72" w14:textId="77777777" w:rsidR="003A55AF" w:rsidRDefault="00000000">
                <w:pPr>
                  <w:pStyle w:val="Bibliography"/>
                </w:pPr>
                <w:r>
                  <w:rPr>
                    <w:sz w:val="18"/>
                    <w:szCs w:val="18"/>
                  </w:rPr>
                  <w:t xml:space="preserve">C. Leys, C. Ley, O. Klein, P. Bernard, and L. Licata, "Detecting outliers: Do not use standard deviation around the mean, use absolute deviation around the median," </w:t>
                </w:r>
                <w:r>
                  <w:rPr>
                    <w:i/>
                    <w:sz w:val="18"/>
                    <w:szCs w:val="18"/>
                  </w:rPr>
                  <w:t>J. Exp. Soc. Psychol.</w:t>
                </w:r>
                <w:r>
                  <w:rPr>
                    <w:sz w:val="18"/>
                    <w:szCs w:val="18"/>
                  </w:rPr>
                  <w:t>, vol. 49, no. 4, pp. 764-766, 2013, doi: 10.1016/j.jesp.2013.03.013.</w:t>
                </w:r>
              </w:p>
            </w:tc>
          </w:tr>
          <w:tr w:rsidR="003A55AF" w14:paraId="3AE8A787" w14:textId="77777777">
            <w:trPr>
              <w:tblCellSpacing w:w="0.75pt" w:type="dxa"/>
            </w:trPr>
            <w:tc>
              <w:tcPr>
                <w:tcW w:w="20.45pt" w:type="dxa"/>
              </w:tcPr>
              <w:p w14:paraId="42B33C29" w14:textId="77777777" w:rsidR="003A55AF" w:rsidRDefault="00000000">
                <w:pPr>
                  <w:pStyle w:val="Bibliography"/>
                </w:pPr>
                <w:r>
                  <w:rPr>
                    <w:sz w:val="18"/>
                    <w:szCs w:val="18"/>
                  </w:rPr>
                  <w:t xml:space="preserve">[11] </w:t>
                </w:r>
              </w:p>
            </w:tc>
            <w:tc>
              <w:tcPr>
                <w:tcW w:w="222.85pt" w:type="dxa"/>
              </w:tcPr>
              <w:p w14:paraId="7117D8E4" w14:textId="77777777" w:rsidR="003A55AF" w:rsidRDefault="00000000">
                <w:pPr>
                  <w:pStyle w:val="Bibliography"/>
                </w:pPr>
                <w:r>
                  <w:rPr>
                    <w:sz w:val="18"/>
                    <w:szCs w:val="18"/>
                  </w:rPr>
                  <w:t xml:space="preserve">G. Shafer and V. Vovk, "A tutorial on conformal prediction," </w:t>
                </w:r>
                <w:r>
                  <w:rPr>
                    <w:i/>
                    <w:sz w:val="18"/>
                    <w:szCs w:val="18"/>
                  </w:rPr>
                  <w:t>J. Mach. Learn. Res.</w:t>
                </w:r>
                <w:r>
                  <w:rPr>
                    <w:sz w:val="18"/>
                    <w:szCs w:val="18"/>
                  </w:rPr>
                  <w:t>, vol. 9, pp. 371-421, 2008.</w:t>
                </w:r>
              </w:p>
            </w:tc>
          </w:tr>
          <w:tr w:rsidR="003A55AF" w14:paraId="2FD7E0D0" w14:textId="77777777">
            <w:trPr>
              <w:tblCellSpacing w:w="0.75pt" w:type="dxa"/>
            </w:trPr>
            <w:tc>
              <w:tcPr>
                <w:tcW w:w="20.45pt" w:type="dxa"/>
              </w:tcPr>
              <w:p w14:paraId="0A6FB3E6" w14:textId="77777777" w:rsidR="003A55AF" w:rsidRDefault="00000000">
                <w:pPr>
                  <w:pStyle w:val="Bibliography"/>
                </w:pPr>
                <w:r>
                  <w:rPr>
                    <w:sz w:val="18"/>
                    <w:szCs w:val="18"/>
                  </w:rPr>
                  <w:t xml:space="preserve">[12] </w:t>
                </w:r>
              </w:p>
            </w:tc>
            <w:tc>
              <w:tcPr>
                <w:tcW w:w="222.85pt" w:type="dxa"/>
              </w:tcPr>
              <w:p w14:paraId="7A552776" w14:textId="77777777" w:rsidR="003A55AF" w:rsidRDefault="00000000">
                <w:pPr>
                  <w:pStyle w:val="Bibliography"/>
                </w:pPr>
                <w:r>
                  <w:rPr>
                    <w:sz w:val="18"/>
                    <w:szCs w:val="18"/>
                  </w:rPr>
                  <w:t xml:space="preserve">K. Stankeviciute, A. M. Alaa, and M. van der Schaar, "Conformal time-series forecasting," in </w:t>
                </w:r>
                <w:r>
                  <w:rPr>
                    <w:i/>
                    <w:sz w:val="18"/>
                    <w:szCs w:val="18"/>
                  </w:rPr>
                  <w:t>Advances in Neural Information Processing Systems</w:t>
                </w:r>
                <w:r>
                  <w:rPr>
                    <w:sz w:val="18"/>
                    <w:szCs w:val="18"/>
                  </w:rPr>
                  <w:t>, vol. 34, 2021.</w:t>
                </w:r>
              </w:p>
            </w:tc>
          </w:tr>
          <w:tr w:rsidR="003A55AF" w14:paraId="13B32A18" w14:textId="77777777">
            <w:trPr>
              <w:tblCellSpacing w:w="0.75pt" w:type="dxa"/>
            </w:trPr>
            <w:tc>
              <w:tcPr>
                <w:tcW w:w="20.45pt" w:type="dxa"/>
              </w:tcPr>
              <w:p w14:paraId="07D86AA6" w14:textId="77777777" w:rsidR="003A55AF" w:rsidRDefault="00000000">
                <w:pPr>
                  <w:pStyle w:val="Bibliography"/>
                </w:pPr>
                <w:r>
                  <w:rPr>
                    <w:sz w:val="18"/>
                    <w:szCs w:val="18"/>
                  </w:rPr>
                  <w:t xml:space="preserve">[13] </w:t>
                </w:r>
              </w:p>
            </w:tc>
            <w:tc>
              <w:tcPr>
                <w:tcW w:w="222.85pt" w:type="dxa"/>
              </w:tcPr>
              <w:p w14:paraId="1480290A" w14:textId="77777777" w:rsidR="003A55AF" w:rsidRDefault="00000000">
                <w:pPr>
                  <w:pStyle w:val="Bibliography"/>
                </w:pPr>
                <w:r>
                  <w:rPr>
                    <w:sz w:val="18"/>
                    <w:szCs w:val="18"/>
                  </w:rPr>
                  <w:t xml:space="preserve">S. De Vito, E. Massera, M. Piga, L. Martinotto, and G. Di Francia, "On field calibration of an electronic nose for benzene estimation in an urban pollution monitoring scenario," </w:t>
                </w:r>
                <w:r>
                  <w:rPr>
                    <w:i/>
                    <w:sz w:val="18"/>
                    <w:szCs w:val="18"/>
                  </w:rPr>
                  <w:t>Sensors Actuators B Chem.</w:t>
                </w:r>
                <w:r>
                  <w:rPr>
                    <w:sz w:val="18"/>
                    <w:szCs w:val="18"/>
                  </w:rPr>
                  <w:t>, vol. 129, no. 2, pp. 750-757, 2008, doi: 10.1016/j.snb.2007.09.060.</w:t>
                </w:r>
              </w:p>
            </w:tc>
          </w:tr>
          <w:tr w:rsidR="003A55AF" w14:paraId="6A21C4CF" w14:textId="77777777">
            <w:trPr>
              <w:tblCellSpacing w:w="0.75pt" w:type="dxa"/>
            </w:trPr>
            <w:tc>
              <w:tcPr>
                <w:tcW w:w="20.45pt" w:type="dxa"/>
              </w:tcPr>
              <w:p w14:paraId="5B629CCE" w14:textId="77777777" w:rsidR="003A55AF" w:rsidRDefault="00000000">
                <w:pPr>
                  <w:pStyle w:val="Bibliography"/>
                </w:pPr>
                <w:r>
                  <w:rPr>
                    <w:sz w:val="18"/>
                    <w:szCs w:val="18"/>
                  </w:rPr>
                  <w:t xml:space="preserve">[14] </w:t>
                </w:r>
              </w:p>
            </w:tc>
            <w:tc>
              <w:tcPr>
                <w:tcW w:w="222.85pt" w:type="dxa"/>
              </w:tcPr>
              <w:p w14:paraId="71266C9D" w14:textId="77777777" w:rsidR="003A55AF" w:rsidRDefault="00000000">
                <w:pPr>
                  <w:pStyle w:val="Bibliography"/>
                </w:pPr>
                <w:r>
                  <w:rPr>
                    <w:sz w:val="18"/>
                    <w:szCs w:val="18"/>
                  </w:rPr>
                  <w:t xml:space="preserve">L. M. Candanedo, V. Feldheim, and D. Deramaix, "Data driven prediction models of energy use of appliances in a low-energy house," </w:t>
                </w:r>
                <w:r>
                  <w:rPr>
                    <w:i/>
                    <w:sz w:val="18"/>
                    <w:szCs w:val="18"/>
                  </w:rPr>
                  <w:t>Energy Build.</w:t>
                </w:r>
                <w:r>
                  <w:rPr>
                    <w:sz w:val="18"/>
                    <w:szCs w:val="18"/>
                  </w:rPr>
                  <w:t>, vol. 140, pp. 81-97, 2017, doi: 10.1016/j.enbuild.2017.01.083.</w:t>
                </w:r>
              </w:p>
            </w:tc>
          </w:tr>
        </w:tbl>
        <w:p w14:paraId="2C882A1E" w14:textId="77777777" w:rsidR="003A55AF" w:rsidRDefault="003A55AF"/>
        <w:p w14:paraId="7EC49078" w14:textId="77777777" w:rsidR="003A55AF" w:rsidRDefault="00000000">
          <w:r>
            <w:fldChar w:fldCharType="end"/>
          </w:r>
        </w:p>
      </w:sdtContent>
    </w:sdt>
    <w:sectPr w:rsidR="003A55AF" w:rsidSect="00C357EB">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445C8D4" w14:textId="77777777" w:rsidR="00902DAA" w:rsidRDefault="00902DAA" w:rsidP="001A3B3D">
      <w:r>
        <w:separator/>
      </w:r>
    </w:p>
  </w:endnote>
  <w:endnote w:type="continuationSeparator" w:id="0">
    <w:p w14:paraId="2BF68E88" w14:textId="77777777" w:rsidR="00902DAA" w:rsidRDefault="00902DA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3" w:usb1="1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Consolas">
    <w:panose1 w:val="020B0609020204030204"/>
    <w:charset w:characterSet="iso-8859-1"/>
    <w:family w:val="modern"/>
    <w:pitch w:val="fixed"/>
    <w:sig w:usb0="E10002FF" w:usb1="4000FCFF" w:usb2="00000009" w:usb3="00000000" w:csb0="0000019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AFF" w:usb1="C0007843"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rStyle w:val="PageNumber"/>
      </w:rPr>
      <w:id w:val="-431123360"/>
      <w:docPartObj>
        <w:docPartGallery w:val="Page Numbers (Bottom of Page)"/>
        <w:docPartUnique/>
      </w:docPartObj>
    </w:sdtPr>
    <w:sdtContent>
      <w:p w14:paraId="1F9122FB" w14:textId="77777777" w:rsidR="00056C97" w:rsidRDefault="00056C97" w:rsidP="005D30BE">
        <w:pPr>
          <w:pStyle w:val="Footer"/>
          <w:framePr w:wrap="none" w:vAnchor="text" w:hAnchor="margin" w:xAlign="center" w:y="0.05pt"/>
          <w:rPr>
            <w:rStyle w:val="PageNumber"/>
          </w:rPr>
        </w:pPr>
        <w:r>
          <w:rPr>
            <w:rStyle w:val="PageNumber"/>
          </w:rPr>
          <w:fldChar w:fldCharType="begin"/>
        </w:r>
        <w:r>
          <w:rPr>
            <w:rStyle w:val="PageNumber"/>
          </w:rPr>
          <w:instrText xml:space="preserve"> PAGE </w:instrText>
        </w:r>
        <w:r>
          <w:rPr>
            <w:rStyle w:val="PageNumber"/>
          </w:rPr>
          <w:fldChar w:fldCharType="separate"/>
        </w:r>
        <w:r w:rsidR="00631C9C">
          <w:rPr>
            <w:rStyle w:val="PageNumber"/>
            <w:noProof/>
          </w:rPr>
          <w:t>1</w:t>
        </w:r>
        <w:r>
          <w:rPr>
            <w:rStyle w:val="PageNumber"/>
          </w:rPr>
          <w:fldChar w:fldCharType="end"/>
        </w:r>
      </w:p>
    </w:sdtContent>
  </w:sdt>
  <w:p w14:paraId="1DF7B6A6" w14:textId="77777777" w:rsidR="00056C97" w:rsidRDefault="00056C97">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rStyle w:val="PageNumber"/>
      </w:rPr>
      <w:id w:val="-33967410"/>
      <w:docPartObj>
        <w:docPartGallery w:val="Page Numbers (Bottom of Page)"/>
        <w:docPartUnique/>
      </w:docPartObj>
    </w:sdtPr>
    <w:sdtContent>
      <w:p w14:paraId="43617F12" w14:textId="77777777" w:rsidR="00056C97" w:rsidRDefault="00056C97" w:rsidP="005D30BE">
        <w:pPr>
          <w:pStyle w:val="Footer"/>
          <w:framePr w:wrap="none" w:vAnchor="text" w:hAnchor="margin" w:xAlign="center" w:y="0.05p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E54B959" w14:textId="77777777" w:rsidR="00056C97" w:rsidRDefault="00056C97">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4C0E07F" w14:textId="7777777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B2D71FD" w14:textId="77777777" w:rsidR="00902DAA" w:rsidRDefault="00902DAA" w:rsidP="001A3B3D">
      <w:r>
        <w:separator/>
      </w:r>
    </w:p>
  </w:footnote>
  <w:footnote w:type="continuationSeparator" w:id="0">
    <w:p w14:paraId="3584FFFF" w14:textId="77777777" w:rsidR="00902DAA" w:rsidRDefault="00902DA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B5C8575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07ACA318"/>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480ED87C"/>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8AF07B9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6B4088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27F09A58"/>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CF9E63D6"/>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9A58A8C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FB882420"/>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ABE8813A"/>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2CD316B"/>
    <w:multiLevelType w:val="hybridMultilevel"/>
    <w:tmpl w:val="252A3982"/>
    <w:lvl w:ilvl="0" w:tplc="1256CC14">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 w15:restartNumberingAfterBreak="0">
    <w:nsid w:val="07085CA4"/>
    <w:multiLevelType w:val="multilevel"/>
    <w:tmpl w:val="B8F2C7E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4976FE5"/>
    <w:multiLevelType w:val="multilevel"/>
    <w:tmpl w:val="F8C2EB8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7615C86"/>
    <w:multiLevelType w:val="hybridMultilevel"/>
    <w:tmpl w:val="8C504B26"/>
    <w:lvl w:ilvl="0" w:tplc="1256CC14">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8" w15:restartNumberingAfterBreak="0">
    <w:nsid w:val="2D363D29"/>
    <w:multiLevelType w:val="multilevel"/>
    <w:tmpl w:val="F8D4698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1E06593"/>
    <w:multiLevelType w:val="hybridMultilevel"/>
    <w:tmpl w:val="E5DA9C58"/>
    <w:lvl w:ilvl="0" w:tplc="1256CC14">
      <w:start w:val="1"/>
      <w:numFmt w:val="bullet"/>
      <w:lvlText w:val=""/>
      <w:lvlJc w:val="start"/>
      <w:pPr>
        <w:ind w:start="52.60pt" w:hanging="18pt"/>
      </w:pPr>
      <w:rPr>
        <w:rFonts w:ascii="Symbol" w:hAnsi="Symbol" w:hint="default"/>
      </w:rPr>
    </w:lvl>
    <w:lvl w:ilvl="1" w:tplc="04090003" w:tentative="1">
      <w:start w:val="1"/>
      <w:numFmt w:val="bullet"/>
      <w:lvlText w:val="o"/>
      <w:lvlJc w:val="start"/>
      <w:pPr>
        <w:ind w:start="88.60pt" w:hanging="18pt"/>
      </w:pPr>
      <w:rPr>
        <w:rFonts w:ascii="Courier New" w:hAnsi="Courier New" w:cs="Courier New" w:hint="default"/>
      </w:rPr>
    </w:lvl>
    <w:lvl w:ilvl="2" w:tplc="04090005" w:tentative="1">
      <w:start w:val="1"/>
      <w:numFmt w:val="bullet"/>
      <w:lvlText w:val=""/>
      <w:lvlJc w:val="start"/>
      <w:pPr>
        <w:ind w:start="124.60pt" w:hanging="18pt"/>
      </w:pPr>
      <w:rPr>
        <w:rFonts w:ascii="Wingdings" w:hAnsi="Wingdings" w:hint="default"/>
      </w:rPr>
    </w:lvl>
    <w:lvl w:ilvl="3" w:tplc="04090001" w:tentative="1">
      <w:start w:val="1"/>
      <w:numFmt w:val="bullet"/>
      <w:lvlText w:val=""/>
      <w:lvlJc w:val="start"/>
      <w:pPr>
        <w:ind w:start="160.60pt" w:hanging="18pt"/>
      </w:pPr>
      <w:rPr>
        <w:rFonts w:ascii="Symbol" w:hAnsi="Symbol" w:hint="default"/>
      </w:rPr>
    </w:lvl>
    <w:lvl w:ilvl="4" w:tplc="04090003" w:tentative="1">
      <w:start w:val="1"/>
      <w:numFmt w:val="bullet"/>
      <w:lvlText w:val="o"/>
      <w:lvlJc w:val="start"/>
      <w:pPr>
        <w:ind w:start="196.60pt" w:hanging="18pt"/>
      </w:pPr>
      <w:rPr>
        <w:rFonts w:ascii="Courier New" w:hAnsi="Courier New" w:cs="Courier New" w:hint="default"/>
      </w:rPr>
    </w:lvl>
    <w:lvl w:ilvl="5" w:tplc="04090005" w:tentative="1">
      <w:start w:val="1"/>
      <w:numFmt w:val="bullet"/>
      <w:lvlText w:val=""/>
      <w:lvlJc w:val="start"/>
      <w:pPr>
        <w:ind w:start="232.60pt" w:hanging="18pt"/>
      </w:pPr>
      <w:rPr>
        <w:rFonts w:ascii="Wingdings" w:hAnsi="Wingdings" w:hint="default"/>
      </w:rPr>
    </w:lvl>
    <w:lvl w:ilvl="6" w:tplc="04090001" w:tentative="1">
      <w:start w:val="1"/>
      <w:numFmt w:val="bullet"/>
      <w:lvlText w:val=""/>
      <w:lvlJc w:val="start"/>
      <w:pPr>
        <w:ind w:start="268.60pt" w:hanging="18pt"/>
      </w:pPr>
      <w:rPr>
        <w:rFonts w:ascii="Symbol" w:hAnsi="Symbol" w:hint="default"/>
      </w:rPr>
    </w:lvl>
    <w:lvl w:ilvl="7" w:tplc="04090003" w:tentative="1">
      <w:start w:val="1"/>
      <w:numFmt w:val="bullet"/>
      <w:lvlText w:val="o"/>
      <w:lvlJc w:val="start"/>
      <w:pPr>
        <w:ind w:start="304.60pt" w:hanging="18pt"/>
      </w:pPr>
      <w:rPr>
        <w:rFonts w:ascii="Courier New" w:hAnsi="Courier New" w:cs="Courier New" w:hint="default"/>
      </w:rPr>
    </w:lvl>
    <w:lvl w:ilvl="8" w:tplc="04090005" w:tentative="1">
      <w:start w:val="1"/>
      <w:numFmt w:val="bullet"/>
      <w:lvlText w:val=""/>
      <w:lvlJc w:val="start"/>
      <w:pPr>
        <w:ind w:start="340.60pt" w:hanging="18pt"/>
      </w:pPr>
      <w:rPr>
        <w:rFonts w:ascii="Wingdings" w:hAnsi="Wingdings"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4D057995"/>
    <w:multiLevelType w:val="hybridMultilevel"/>
    <w:tmpl w:val="35E86E4C"/>
    <w:lvl w:ilvl="0" w:tplc="1256CC14">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5" w15:restartNumberingAfterBreak="0">
    <w:nsid w:val="4DB557BF"/>
    <w:multiLevelType w:val="hybridMultilevel"/>
    <w:tmpl w:val="0D0623B0"/>
    <w:lvl w:ilvl="0" w:tplc="1256CC14">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D4851A4"/>
    <w:multiLevelType w:val="multilevel"/>
    <w:tmpl w:val="8E6893A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617228D5"/>
    <w:multiLevelType w:val="multilevel"/>
    <w:tmpl w:val="69322D2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
      <w:lvlJc w:val="start"/>
      <w:pPr>
        <w:tabs>
          <w:tab w:val="num" w:pos="72pt"/>
        </w:tabs>
        <w:ind w:start="72pt" w:hanging="18pt"/>
      </w:pPr>
      <w:rPr>
        <w:rFonts w:ascii="Symbol" w:hAnsi="Symbol" w:hint="default"/>
        <w:sz w:val="20"/>
      </w:rPr>
    </w:lvl>
    <w:lvl w:ilvl="2" w:tentative="1">
      <w:start w:val="1"/>
      <w:numFmt w:val="bullet"/>
      <w:lvlText w:val=""/>
      <w:lvlJc w:val="start"/>
      <w:pPr>
        <w:tabs>
          <w:tab w:val="num" w:pos="108pt"/>
        </w:tabs>
        <w:ind w:start="108pt" w:hanging="18pt"/>
      </w:pPr>
      <w:rPr>
        <w:rFonts w:ascii="Symbol" w:hAnsi="Symbol" w:hint="default"/>
        <w:sz w:val="20"/>
      </w:rPr>
    </w:lvl>
    <w:lvl w:ilvl="3" w:tentative="1">
      <w:start w:val="1"/>
      <w:numFmt w:val="bullet"/>
      <w:lvlText w:val=""/>
      <w:lvlJc w:val="start"/>
      <w:pPr>
        <w:tabs>
          <w:tab w:val="num" w:pos="144pt"/>
        </w:tabs>
        <w:ind w:start="144pt" w:hanging="18pt"/>
      </w:pPr>
      <w:rPr>
        <w:rFonts w:ascii="Symbol" w:hAnsi="Symbol" w:hint="default"/>
        <w:sz w:val="20"/>
      </w:rPr>
    </w:lvl>
    <w:lvl w:ilvl="4" w:tentative="1">
      <w:start w:val="1"/>
      <w:numFmt w:val="bullet"/>
      <w:lvlText w:val=""/>
      <w:lvlJc w:val="start"/>
      <w:pPr>
        <w:tabs>
          <w:tab w:val="num" w:pos="180pt"/>
        </w:tabs>
        <w:ind w:start="180pt" w:hanging="18pt"/>
      </w:pPr>
      <w:rPr>
        <w:rFonts w:ascii="Symbol" w:hAnsi="Symbol" w:hint="default"/>
        <w:sz w:val="20"/>
      </w:rPr>
    </w:lvl>
    <w:lvl w:ilvl="5" w:tentative="1">
      <w:start w:val="1"/>
      <w:numFmt w:val="bullet"/>
      <w:lvlText w:val=""/>
      <w:lvlJc w:val="start"/>
      <w:pPr>
        <w:tabs>
          <w:tab w:val="num" w:pos="216pt"/>
        </w:tabs>
        <w:ind w:start="216pt" w:hanging="18pt"/>
      </w:pPr>
      <w:rPr>
        <w:rFonts w:ascii="Symbol" w:hAnsi="Symbol" w:hint="default"/>
        <w:sz w:val="20"/>
      </w:rPr>
    </w:lvl>
    <w:lvl w:ilvl="6" w:tentative="1">
      <w:start w:val="1"/>
      <w:numFmt w:val="bullet"/>
      <w:lvlText w:val=""/>
      <w:lvlJc w:val="start"/>
      <w:pPr>
        <w:tabs>
          <w:tab w:val="num" w:pos="252pt"/>
        </w:tabs>
        <w:ind w:start="252pt" w:hanging="18pt"/>
      </w:pPr>
      <w:rPr>
        <w:rFonts w:ascii="Symbol" w:hAnsi="Symbol" w:hint="default"/>
        <w:sz w:val="20"/>
      </w:rPr>
    </w:lvl>
    <w:lvl w:ilvl="7" w:tentative="1">
      <w:start w:val="1"/>
      <w:numFmt w:val="bullet"/>
      <w:lvlText w:val=""/>
      <w:lvlJc w:val="start"/>
      <w:pPr>
        <w:tabs>
          <w:tab w:val="num" w:pos="288pt"/>
        </w:tabs>
        <w:ind w:start="288pt" w:hanging="18pt"/>
      </w:pPr>
      <w:rPr>
        <w:rFonts w:ascii="Symbol" w:hAnsi="Symbol" w:hint="default"/>
        <w:sz w:val="20"/>
      </w:rPr>
    </w:lvl>
    <w:lvl w:ilvl="8" w:tentative="1">
      <w:start w:val="1"/>
      <w:numFmt w:val="bullet"/>
      <w:lvlText w:val=""/>
      <w:lvlJc w:val="start"/>
      <w:pPr>
        <w:tabs>
          <w:tab w:val="num" w:pos="324pt"/>
        </w:tabs>
        <w:ind w:start="324pt" w:hanging="18pt"/>
      </w:pPr>
      <w:rPr>
        <w:rFonts w:ascii="Symbol" w:hAnsi="Symbol" w:hint="default"/>
        <w:sz w:val="20"/>
      </w:rPr>
    </w:lvl>
  </w:abstractNum>
  <w:abstractNum w:abstractNumId="2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1" w15:restartNumberingAfterBreak="0">
    <w:nsid w:val="71871D35"/>
    <w:multiLevelType w:val="hybridMultilevel"/>
    <w:tmpl w:val="7F683DFA"/>
    <w:lvl w:ilvl="0" w:tplc="1256CC14">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num w:numId="1" w16cid:durableId="1636062573">
    <w:abstractNumId w:val="19"/>
  </w:num>
  <w:num w:numId="2" w16cid:durableId="23487023">
    <w:abstractNumId w:val="29"/>
  </w:num>
  <w:num w:numId="3" w16cid:durableId="369765689">
    <w:abstractNumId w:val="16"/>
  </w:num>
  <w:num w:numId="4" w16cid:durableId="786461058">
    <w:abstractNumId w:val="21"/>
  </w:num>
  <w:num w:numId="5" w16cid:durableId="572668379">
    <w:abstractNumId w:val="21"/>
  </w:num>
  <w:num w:numId="6" w16cid:durableId="326591496">
    <w:abstractNumId w:val="21"/>
  </w:num>
  <w:num w:numId="7" w16cid:durableId="1132287708">
    <w:abstractNumId w:val="21"/>
  </w:num>
  <w:num w:numId="8" w16cid:durableId="165444424">
    <w:abstractNumId w:val="26"/>
  </w:num>
  <w:num w:numId="9" w16cid:durableId="491064684">
    <w:abstractNumId w:val="30"/>
  </w:num>
  <w:num w:numId="10" w16cid:durableId="854733087">
    <w:abstractNumId w:val="20"/>
  </w:num>
  <w:num w:numId="11" w16cid:durableId="1482768245">
    <w:abstractNumId w:val="14"/>
  </w:num>
  <w:num w:numId="12" w16cid:durableId="1605651354">
    <w:abstractNumId w:val="13"/>
  </w:num>
  <w:num w:numId="13" w16cid:durableId="1376351051">
    <w:abstractNumId w:val="0"/>
  </w:num>
  <w:num w:numId="14" w16cid:durableId="1490830851">
    <w:abstractNumId w:val="10"/>
  </w:num>
  <w:num w:numId="15" w16cid:durableId="138504116">
    <w:abstractNumId w:val="8"/>
  </w:num>
  <w:num w:numId="16" w16cid:durableId="138309798">
    <w:abstractNumId w:val="7"/>
  </w:num>
  <w:num w:numId="17" w16cid:durableId="2059278618">
    <w:abstractNumId w:val="6"/>
  </w:num>
  <w:num w:numId="18" w16cid:durableId="1747263918">
    <w:abstractNumId w:val="5"/>
  </w:num>
  <w:num w:numId="19" w16cid:durableId="1517502179">
    <w:abstractNumId w:val="9"/>
  </w:num>
  <w:num w:numId="20" w16cid:durableId="332952490">
    <w:abstractNumId w:val="4"/>
  </w:num>
  <w:num w:numId="21" w16cid:durableId="1189371173">
    <w:abstractNumId w:val="3"/>
  </w:num>
  <w:num w:numId="22" w16cid:durableId="1426338680">
    <w:abstractNumId w:val="2"/>
  </w:num>
  <w:num w:numId="23" w16cid:durableId="464196530">
    <w:abstractNumId w:val="1"/>
  </w:num>
  <w:num w:numId="24" w16cid:durableId="1571621940">
    <w:abstractNumId w:val="23"/>
  </w:num>
  <w:num w:numId="25" w16cid:durableId="2001231788">
    <w:abstractNumId w:val="18"/>
  </w:num>
  <w:num w:numId="26" w16cid:durableId="657881948">
    <w:abstractNumId w:val="24"/>
  </w:num>
  <w:num w:numId="27" w16cid:durableId="299775751">
    <w:abstractNumId w:val="28"/>
  </w:num>
  <w:num w:numId="28" w16cid:durableId="1987120126">
    <w:abstractNumId w:val="22"/>
  </w:num>
  <w:num w:numId="29" w16cid:durableId="56754695">
    <w:abstractNumId w:val="27"/>
  </w:num>
  <w:num w:numId="30" w16cid:durableId="1652783000">
    <w:abstractNumId w:val="25"/>
  </w:num>
  <w:num w:numId="31" w16cid:durableId="1015032318">
    <w:abstractNumId w:val="11"/>
  </w:num>
  <w:num w:numId="32" w16cid:durableId="848645694">
    <w:abstractNumId w:val="31"/>
  </w:num>
  <w:num w:numId="33" w16cid:durableId="1966033540">
    <w:abstractNumId w:val="12"/>
  </w:num>
  <w:num w:numId="34" w16cid:durableId="1694451826">
    <w:abstractNumId w:val="15"/>
  </w:num>
  <w:num w:numId="35" w16cid:durableId="1090856622">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7E05"/>
    <w:rsid w:val="0004781E"/>
    <w:rsid w:val="00056C97"/>
    <w:rsid w:val="0008758A"/>
    <w:rsid w:val="000B2E6E"/>
    <w:rsid w:val="000C1E68"/>
    <w:rsid w:val="001A2EFD"/>
    <w:rsid w:val="001A3B3D"/>
    <w:rsid w:val="001B67DC"/>
    <w:rsid w:val="00206F0C"/>
    <w:rsid w:val="00212201"/>
    <w:rsid w:val="002254A9"/>
    <w:rsid w:val="00233D97"/>
    <w:rsid w:val="002347A2"/>
    <w:rsid w:val="00244B1A"/>
    <w:rsid w:val="002850E3"/>
    <w:rsid w:val="00285134"/>
    <w:rsid w:val="002973BC"/>
    <w:rsid w:val="002E4A57"/>
    <w:rsid w:val="002E6424"/>
    <w:rsid w:val="00310A2A"/>
    <w:rsid w:val="00312CE4"/>
    <w:rsid w:val="00344F55"/>
    <w:rsid w:val="00354FCF"/>
    <w:rsid w:val="0036667F"/>
    <w:rsid w:val="003A19E2"/>
    <w:rsid w:val="003A1D2F"/>
    <w:rsid w:val="003A55AF"/>
    <w:rsid w:val="003B1E8A"/>
    <w:rsid w:val="003B2B40"/>
    <w:rsid w:val="003B4E04"/>
    <w:rsid w:val="003D1D42"/>
    <w:rsid w:val="003E771B"/>
    <w:rsid w:val="003F5A08"/>
    <w:rsid w:val="00420716"/>
    <w:rsid w:val="004325FB"/>
    <w:rsid w:val="004432BA"/>
    <w:rsid w:val="0044407E"/>
    <w:rsid w:val="00447BB9"/>
    <w:rsid w:val="0046031D"/>
    <w:rsid w:val="00462475"/>
    <w:rsid w:val="00473AC9"/>
    <w:rsid w:val="004A380D"/>
    <w:rsid w:val="004C4EC4"/>
    <w:rsid w:val="004D72B5"/>
    <w:rsid w:val="005006B3"/>
    <w:rsid w:val="0052497F"/>
    <w:rsid w:val="00540353"/>
    <w:rsid w:val="00546D9A"/>
    <w:rsid w:val="00551B7F"/>
    <w:rsid w:val="0056610F"/>
    <w:rsid w:val="00575BCA"/>
    <w:rsid w:val="005B0344"/>
    <w:rsid w:val="005B520E"/>
    <w:rsid w:val="005E2800"/>
    <w:rsid w:val="00605825"/>
    <w:rsid w:val="00631C9C"/>
    <w:rsid w:val="00645D22"/>
    <w:rsid w:val="00651A08"/>
    <w:rsid w:val="00654204"/>
    <w:rsid w:val="00670434"/>
    <w:rsid w:val="00671021"/>
    <w:rsid w:val="006A4C77"/>
    <w:rsid w:val="006B6B66"/>
    <w:rsid w:val="006F52E1"/>
    <w:rsid w:val="006F6D3D"/>
    <w:rsid w:val="00715BEA"/>
    <w:rsid w:val="00735834"/>
    <w:rsid w:val="00740EEA"/>
    <w:rsid w:val="00794804"/>
    <w:rsid w:val="007A348F"/>
    <w:rsid w:val="007B33F1"/>
    <w:rsid w:val="007B6DDA"/>
    <w:rsid w:val="007B7608"/>
    <w:rsid w:val="007C0308"/>
    <w:rsid w:val="007C2FF2"/>
    <w:rsid w:val="007C568A"/>
    <w:rsid w:val="007C7B7F"/>
    <w:rsid w:val="007D6232"/>
    <w:rsid w:val="007F1F99"/>
    <w:rsid w:val="007F768F"/>
    <w:rsid w:val="0080791D"/>
    <w:rsid w:val="008102C3"/>
    <w:rsid w:val="00836367"/>
    <w:rsid w:val="00873603"/>
    <w:rsid w:val="008A2C7D"/>
    <w:rsid w:val="008B6524"/>
    <w:rsid w:val="008C1855"/>
    <w:rsid w:val="008C4B23"/>
    <w:rsid w:val="008F6E2C"/>
    <w:rsid w:val="00902DAA"/>
    <w:rsid w:val="00910E5D"/>
    <w:rsid w:val="009303D9"/>
    <w:rsid w:val="00933C64"/>
    <w:rsid w:val="00964CA5"/>
    <w:rsid w:val="00972203"/>
    <w:rsid w:val="00972B5F"/>
    <w:rsid w:val="00995550"/>
    <w:rsid w:val="0099687E"/>
    <w:rsid w:val="009B3E84"/>
    <w:rsid w:val="009F1D79"/>
    <w:rsid w:val="00A059B3"/>
    <w:rsid w:val="00A3183B"/>
    <w:rsid w:val="00A45A8B"/>
    <w:rsid w:val="00AA195C"/>
    <w:rsid w:val="00AB67C4"/>
    <w:rsid w:val="00AD5B11"/>
    <w:rsid w:val="00AE3409"/>
    <w:rsid w:val="00AE6C2B"/>
    <w:rsid w:val="00B11A60"/>
    <w:rsid w:val="00B16CB0"/>
    <w:rsid w:val="00B22613"/>
    <w:rsid w:val="00B44A76"/>
    <w:rsid w:val="00B61ED0"/>
    <w:rsid w:val="00B768D1"/>
    <w:rsid w:val="00BA033D"/>
    <w:rsid w:val="00BA1025"/>
    <w:rsid w:val="00BC3420"/>
    <w:rsid w:val="00BD670B"/>
    <w:rsid w:val="00BE7D3C"/>
    <w:rsid w:val="00BF5FF6"/>
    <w:rsid w:val="00C0207F"/>
    <w:rsid w:val="00C0505D"/>
    <w:rsid w:val="00C1068A"/>
    <w:rsid w:val="00C16117"/>
    <w:rsid w:val="00C3075A"/>
    <w:rsid w:val="00C357EB"/>
    <w:rsid w:val="00C67D49"/>
    <w:rsid w:val="00C919A4"/>
    <w:rsid w:val="00CA4392"/>
    <w:rsid w:val="00CC393F"/>
    <w:rsid w:val="00CE50A8"/>
    <w:rsid w:val="00D14237"/>
    <w:rsid w:val="00D2176E"/>
    <w:rsid w:val="00D25B3A"/>
    <w:rsid w:val="00D42783"/>
    <w:rsid w:val="00D56856"/>
    <w:rsid w:val="00D632BE"/>
    <w:rsid w:val="00D72D06"/>
    <w:rsid w:val="00D7522C"/>
    <w:rsid w:val="00D7536F"/>
    <w:rsid w:val="00D76668"/>
    <w:rsid w:val="00DB5B91"/>
    <w:rsid w:val="00DE2CC9"/>
    <w:rsid w:val="00E00EAC"/>
    <w:rsid w:val="00E07383"/>
    <w:rsid w:val="00E165BC"/>
    <w:rsid w:val="00E45584"/>
    <w:rsid w:val="00E61E12"/>
    <w:rsid w:val="00E7596C"/>
    <w:rsid w:val="00E878F2"/>
    <w:rsid w:val="00EC61B0"/>
    <w:rsid w:val="00ED0149"/>
    <w:rsid w:val="00EE7A89"/>
    <w:rsid w:val="00EF7DE3"/>
    <w:rsid w:val="00F03103"/>
    <w:rsid w:val="00F12BC5"/>
    <w:rsid w:val="00F271DE"/>
    <w:rsid w:val="00F376E3"/>
    <w:rsid w:val="00F627DA"/>
    <w:rsid w:val="00F71849"/>
    <w:rsid w:val="00F7288F"/>
    <w:rsid w:val="00F750E0"/>
    <w:rsid w:val="00F847A6"/>
    <w:rsid w:val="00F9441B"/>
    <w:rsid w:val="00FA1439"/>
    <w:rsid w:val="00FA4C32"/>
    <w:rsid w:val="00FB052D"/>
    <w:rsid w:val="00FD0784"/>
    <w:rsid w:val="00FD34D8"/>
    <w:rsid w:val="00FE6C3F"/>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C3CD43"/>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uiPriority="10" w:qFormat="1"/>
    <w:lsdException w:name="Subtitle" w:qFormat="1"/>
    <w:lsdException w:name="Strong" w:uiPriority="22" w:qFormat="1"/>
    <w:lsdException w:name="Emphasis" w:qFormat="1"/>
    <w:lsdException w:name="Normal (Web)"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462475"/>
    <w:pPr>
      <w:spacing w:before="5pt" w:beforeAutospacing="1" w:after="5pt" w:afterAutospacing="1"/>
      <w:jc w:val="start"/>
    </w:pPr>
    <w:rPr>
      <w:rFonts w:eastAsia="Times New Roman"/>
      <w:sz w:val="24"/>
      <w:szCs w:val="24"/>
    </w:rPr>
  </w:style>
  <w:style w:type="paragraph" w:styleId="Caption">
    <w:name w:val="caption"/>
    <w:basedOn w:val="Normal"/>
    <w:next w:val="Normal"/>
    <w:uiPriority w:val="35"/>
    <w:unhideWhenUsed/>
    <w:qFormat/>
    <w:rsid w:val="0036667F"/>
    <w:pPr>
      <w:spacing w:after="10pt"/>
    </w:pPr>
    <w:rPr>
      <w:i/>
      <w:iCs/>
      <w:color w:val="44546A" w:themeColor="text2"/>
      <w:sz w:val="18"/>
      <w:szCs w:val="18"/>
    </w:rPr>
  </w:style>
  <w:style w:type="character" w:styleId="HTMLCode">
    <w:name w:val="HTML Code"/>
    <w:basedOn w:val="DefaultParagraphFont"/>
    <w:uiPriority w:val="99"/>
    <w:unhideWhenUsed/>
    <w:rsid w:val="00671021"/>
    <w:rPr>
      <w:rFonts w:ascii="Courier New" w:eastAsia="Times New Roman" w:hAnsi="Courier New" w:cs="Courier New"/>
      <w:sz w:val="20"/>
      <w:szCs w:val="20"/>
    </w:rPr>
  </w:style>
  <w:style w:type="paragraph" w:styleId="Title">
    <w:name w:val="Title"/>
    <w:basedOn w:val="Normal"/>
    <w:next w:val="Normal"/>
    <w:link w:val="TitleChar"/>
    <w:uiPriority w:val="10"/>
    <w:qFormat/>
    <w:rsid w:val="00B61ED0"/>
    <w:pPr>
      <w:spacing w:before="24pt" w:after="24pt"/>
      <w:contextualSpacing/>
      <w:jc w:val="start"/>
    </w:pPr>
    <w:rPr>
      <w:rFonts w:eastAsiaTheme="majorEastAsia" w:cstheme="majorBidi"/>
      <w:b/>
      <w:spacing w:val="-10"/>
      <w:kern w:val="28"/>
      <w:sz w:val="52"/>
      <w:szCs w:val="56"/>
    </w:rPr>
  </w:style>
  <w:style w:type="character" w:customStyle="1" w:styleId="TitleChar">
    <w:name w:val="Title Char"/>
    <w:basedOn w:val="DefaultParagraphFont"/>
    <w:link w:val="Title"/>
    <w:uiPriority w:val="10"/>
    <w:rsid w:val="00B61ED0"/>
    <w:rPr>
      <w:rFonts w:eastAsiaTheme="majorEastAsia" w:cstheme="majorBidi"/>
      <w:b/>
      <w:spacing w:val="-10"/>
      <w:kern w:val="28"/>
      <w:sz w:val="52"/>
      <w:szCs w:val="56"/>
    </w:rPr>
  </w:style>
  <w:style w:type="table" w:styleId="PlainTable2">
    <w:name w:val="Plain Table 2"/>
    <w:basedOn w:val="TableNormal"/>
    <w:uiPriority w:val="42"/>
    <w:rsid w:val="00027E0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start w:val="single" w:sz="4" w:space="0" w:color="7F7F7F" w:themeColor="text1" w:themeTint="80"/>
          <w:end w:val="single" w:sz="4" w:space="0" w:color="7F7F7F" w:themeColor="text1" w:themeTint="80"/>
        </w:tcBorders>
      </w:tcPr>
    </w:tblStylePr>
    <w:tblStylePr w:type="band2Vert">
      <w:tblPr/>
      <w:tcPr>
        <w:tcBorders>
          <w:start w:val="single" w:sz="4" w:space="0" w:color="7F7F7F" w:themeColor="text1" w:themeTint="80"/>
          <w:end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Strong">
    <w:name w:val="Strong"/>
    <w:basedOn w:val="DefaultParagraphFont"/>
    <w:uiPriority w:val="22"/>
    <w:qFormat/>
    <w:rsid w:val="00027E05"/>
    <w:rPr>
      <w:b/>
      <w:bCs/>
    </w:rPr>
  </w:style>
  <w:style w:type="paragraph" w:styleId="ListParagraph">
    <w:name w:val="List Paragraph"/>
    <w:basedOn w:val="Normal"/>
    <w:uiPriority w:val="34"/>
    <w:qFormat/>
    <w:rsid w:val="003A1D2F"/>
    <w:pPr>
      <w:spacing w:before="6pt" w:after="6pt"/>
      <w:ind w:start="36pt"/>
      <w:contextualSpacing/>
      <w:jc w:val="start"/>
    </w:pPr>
    <w:rPr>
      <w:rFonts w:eastAsia="Times New Roman"/>
      <w:sz w:val="24"/>
      <w:szCs w:val="24"/>
    </w:rPr>
  </w:style>
  <w:style w:type="character" w:customStyle="1" w:styleId="Heading1Char">
    <w:name w:val="Heading 1 Char"/>
    <w:basedOn w:val="DefaultParagraphFont"/>
    <w:link w:val="Heading1"/>
    <w:uiPriority w:val="9"/>
    <w:rsid w:val="00056C97"/>
    <w:rPr>
      <w:smallCaps/>
      <w:noProof/>
    </w:rPr>
  </w:style>
  <w:style w:type="paragraph" w:styleId="Bibliography">
    <w:name w:val="Bibliography"/>
    <w:basedOn w:val="Normal"/>
    <w:next w:val="Normal"/>
    <w:uiPriority w:val="37"/>
    <w:unhideWhenUsed/>
    <w:rsid w:val="00056C97"/>
  </w:style>
  <w:style w:type="character" w:styleId="PageNumber">
    <w:name w:val="page number"/>
    <w:basedOn w:val="DefaultParagraphFont"/>
    <w:rsid w:val="00056C97"/>
  </w:style>
  <w:style w:type="character" w:styleId="Emphasis">
    <w:name w:val="Emphasis"/>
    <w:basedOn w:val="DefaultParagraphFont"/>
    <w:qFormat/>
    <w:rsid w:val="006F52E1"/>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917">
      <w:bodyDiv w:val="1"/>
      <w:marLeft w:val="0pt"/>
      <w:marRight w:val="0pt"/>
      <w:marTop w:val="0pt"/>
      <w:marBottom w:val="0pt"/>
      <w:divBdr>
        <w:top w:val="none" w:sz="0" w:space="0" w:color="auto"/>
        <w:left w:val="none" w:sz="0" w:space="0" w:color="auto"/>
        <w:bottom w:val="none" w:sz="0" w:space="0" w:color="auto"/>
        <w:right w:val="none" w:sz="0" w:space="0" w:color="auto"/>
      </w:divBdr>
    </w:div>
    <w:div w:id="8021619">
      <w:bodyDiv w:val="1"/>
      <w:marLeft w:val="0pt"/>
      <w:marRight w:val="0pt"/>
      <w:marTop w:val="0pt"/>
      <w:marBottom w:val="0pt"/>
      <w:divBdr>
        <w:top w:val="none" w:sz="0" w:space="0" w:color="auto"/>
        <w:left w:val="none" w:sz="0" w:space="0" w:color="auto"/>
        <w:bottom w:val="none" w:sz="0" w:space="0" w:color="auto"/>
        <w:right w:val="none" w:sz="0" w:space="0" w:color="auto"/>
      </w:divBdr>
    </w:div>
    <w:div w:id="33965776">
      <w:bodyDiv w:val="1"/>
      <w:marLeft w:val="0pt"/>
      <w:marRight w:val="0pt"/>
      <w:marTop w:val="0pt"/>
      <w:marBottom w:val="0pt"/>
      <w:divBdr>
        <w:top w:val="none" w:sz="0" w:space="0" w:color="auto"/>
        <w:left w:val="none" w:sz="0" w:space="0" w:color="auto"/>
        <w:bottom w:val="none" w:sz="0" w:space="0" w:color="auto"/>
        <w:right w:val="none" w:sz="0" w:space="0" w:color="auto"/>
      </w:divBdr>
    </w:div>
    <w:div w:id="56361335">
      <w:bodyDiv w:val="1"/>
      <w:marLeft w:val="0pt"/>
      <w:marRight w:val="0pt"/>
      <w:marTop w:val="0pt"/>
      <w:marBottom w:val="0pt"/>
      <w:divBdr>
        <w:top w:val="none" w:sz="0" w:space="0" w:color="auto"/>
        <w:left w:val="none" w:sz="0" w:space="0" w:color="auto"/>
        <w:bottom w:val="none" w:sz="0" w:space="0" w:color="auto"/>
        <w:right w:val="none" w:sz="0" w:space="0" w:color="auto"/>
      </w:divBdr>
    </w:div>
    <w:div w:id="66155330">
      <w:bodyDiv w:val="1"/>
      <w:marLeft w:val="0pt"/>
      <w:marRight w:val="0pt"/>
      <w:marTop w:val="0pt"/>
      <w:marBottom w:val="0pt"/>
      <w:divBdr>
        <w:top w:val="none" w:sz="0" w:space="0" w:color="auto"/>
        <w:left w:val="none" w:sz="0" w:space="0" w:color="auto"/>
        <w:bottom w:val="none" w:sz="0" w:space="0" w:color="auto"/>
        <w:right w:val="none" w:sz="0" w:space="0" w:color="auto"/>
      </w:divBdr>
    </w:div>
    <w:div w:id="97801486">
      <w:bodyDiv w:val="1"/>
      <w:marLeft w:val="0pt"/>
      <w:marRight w:val="0pt"/>
      <w:marTop w:val="0pt"/>
      <w:marBottom w:val="0pt"/>
      <w:divBdr>
        <w:top w:val="none" w:sz="0" w:space="0" w:color="auto"/>
        <w:left w:val="none" w:sz="0" w:space="0" w:color="auto"/>
        <w:bottom w:val="none" w:sz="0" w:space="0" w:color="auto"/>
        <w:right w:val="none" w:sz="0" w:space="0" w:color="auto"/>
      </w:divBdr>
    </w:div>
    <w:div w:id="127817858">
      <w:bodyDiv w:val="1"/>
      <w:marLeft w:val="0pt"/>
      <w:marRight w:val="0pt"/>
      <w:marTop w:val="0pt"/>
      <w:marBottom w:val="0pt"/>
      <w:divBdr>
        <w:top w:val="none" w:sz="0" w:space="0" w:color="auto"/>
        <w:left w:val="none" w:sz="0" w:space="0" w:color="auto"/>
        <w:bottom w:val="none" w:sz="0" w:space="0" w:color="auto"/>
        <w:right w:val="none" w:sz="0" w:space="0" w:color="auto"/>
      </w:divBdr>
    </w:div>
    <w:div w:id="132871120">
      <w:bodyDiv w:val="1"/>
      <w:marLeft w:val="0pt"/>
      <w:marRight w:val="0pt"/>
      <w:marTop w:val="0pt"/>
      <w:marBottom w:val="0pt"/>
      <w:divBdr>
        <w:top w:val="none" w:sz="0" w:space="0" w:color="auto"/>
        <w:left w:val="none" w:sz="0" w:space="0" w:color="auto"/>
        <w:bottom w:val="none" w:sz="0" w:space="0" w:color="auto"/>
        <w:right w:val="none" w:sz="0" w:space="0" w:color="auto"/>
      </w:divBdr>
    </w:div>
    <w:div w:id="172500314">
      <w:bodyDiv w:val="1"/>
      <w:marLeft w:val="0pt"/>
      <w:marRight w:val="0pt"/>
      <w:marTop w:val="0pt"/>
      <w:marBottom w:val="0pt"/>
      <w:divBdr>
        <w:top w:val="none" w:sz="0" w:space="0" w:color="auto"/>
        <w:left w:val="none" w:sz="0" w:space="0" w:color="auto"/>
        <w:bottom w:val="none" w:sz="0" w:space="0" w:color="auto"/>
        <w:right w:val="none" w:sz="0" w:space="0" w:color="auto"/>
      </w:divBdr>
    </w:div>
    <w:div w:id="205217343">
      <w:bodyDiv w:val="1"/>
      <w:marLeft w:val="0pt"/>
      <w:marRight w:val="0pt"/>
      <w:marTop w:val="0pt"/>
      <w:marBottom w:val="0pt"/>
      <w:divBdr>
        <w:top w:val="none" w:sz="0" w:space="0" w:color="auto"/>
        <w:left w:val="none" w:sz="0" w:space="0" w:color="auto"/>
        <w:bottom w:val="none" w:sz="0" w:space="0" w:color="auto"/>
        <w:right w:val="none" w:sz="0" w:space="0" w:color="auto"/>
      </w:divBdr>
    </w:div>
    <w:div w:id="218370344">
      <w:bodyDiv w:val="1"/>
      <w:marLeft w:val="0pt"/>
      <w:marRight w:val="0pt"/>
      <w:marTop w:val="0pt"/>
      <w:marBottom w:val="0pt"/>
      <w:divBdr>
        <w:top w:val="none" w:sz="0" w:space="0" w:color="auto"/>
        <w:left w:val="none" w:sz="0" w:space="0" w:color="auto"/>
        <w:bottom w:val="none" w:sz="0" w:space="0" w:color="auto"/>
        <w:right w:val="none" w:sz="0" w:space="0" w:color="auto"/>
      </w:divBdr>
    </w:div>
    <w:div w:id="234511157">
      <w:bodyDiv w:val="1"/>
      <w:marLeft w:val="0pt"/>
      <w:marRight w:val="0pt"/>
      <w:marTop w:val="0pt"/>
      <w:marBottom w:val="0pt"/>
      <w:divBdr>
        <w:top w:val="none" w:sz="0" w:space="0" w:color="auto"/>
        <w:left w:val="none" w:sz="0" w:space="0" w:color="auto"/>
        <w:bottom w:val="none" w:sz="0" w:space="0" w:color="auto"/>
        <w:right w:val="none" w:sz="0" w:space="0" w:color="auto"/>
      </w:divBdr>
    </w:div>
    <w:div w:id="246692418">
      <w:bodyDiv w:val="1"/>
      <w:marLeft w:val="0pt"/>
      <w:marRight w:val="0pt"/>
      <w:marTop w:val="0pt"/>
      <w:marBottom w:val="0pt"/>
      <w:divBdr>
        <w:top w:val="none" w:sz="0" w:space="0" w:color="auto"/>
        <w:left w:val="none" w:sz="0" w:space="0" w:color="auto"/>
        <w:bottom w:val="none" w:sz="0" w:space="0" w:color="auto"/>
        <w:right w:val="none" w:sz="0" w:space="0" w:color="auto"/>
      </w:divBdr>
    </w:div>
    <w:div w:id="285935139">
      <w:bodyDiv w:val="1"/>
      <w:marLeft w:val="0pt"/>
      <w:marRight w:val="0pt"/>
      <w:marTop w:val="0pt"/>
      <w:marBottom w:val="0pt"/>
      <w:divBdr>
        <w:top w:val="none" w:sz="0" w:space="0" w:color="auto"/>
        <w:left w:val="none" w:sz="0" w:space="0" w:color="auto"/>
        <w:bottom w:val="none" w:sz="0" w:space="0" w:color="auto"/>
        <w:right w:val="none" w:sz="0" w:space="0" w:color="auto"/>
      </w:divBdr>
    </w:div>
    <w:div w:id="286741548">
      <w:bodyDiv w:val="1"/>
      <w:marLeft w:val="0pt"/>
      <w:marRight w:val="0pt"/>
      <w:marTop w:val="0pt"/>
      <w:marBottom w:val="0pt"/>
      <w:divBdr>
        <w:top w:val="none" w:sz="0" w:space="0" w:color="auto"/>
        <w:left w:val="none" w:sz="0" w:space="0" w:color="auto"/>
        <w:bottom w:val="none" w:sz="0" w:space="0" w:color="auto"/>
        <w:right w:val="none" w:sz="0" w:space="0" w:color="auto"/>
      </w:divBdr>
    </w:div>
    <w:div w:id="290328602">
      <w:bodyDiv w:val="1"/>
      <w:marLeft w:val="0pt"/>
      <w:marRight w:val="0pt"/>
      <w:marTop w:val="0pt"/>
      <w:marBottom w:val="0pt"/>
      <w:divBdr>
        <w:top w:val="none" w:sz="0" w:space="0" w:color="auto"/>
        <w:left w:val="none" w:sz="0" w:space="0" w:color="auto"/>
        <w:bottom w:val="none" w:sz="0" w:space="0" w:color="auto"/>
        <w:right w:val="none" w:sz="0" w:space="0" w:color="auto"/>
      </w:divBdr>
    </w:div>
    <w:div w:id="307901486">
      <w:bodyDiv w:val="1"/>
      <w:marLeft w:val="0pt"/>
      <w:marRight w:val="0pt"/>
      <w:marTop w:val="0pt"/>
      <w:marBottom w:val="0pt"/>
      <w:divBdr>
        <w:top w:val="none" w:sz="0" w:space="0" w:color="auto"/>
        <w:left w:val="none" w:sz="0" w:space="0" w:color="auto"/>
        <w:bottom w:val="none" w:sz="0" w:space="0" w:color="auto"/>
        <w:right w:val="none" w:sz="0" w:space="0" w:color="auto"/>
      </w:divBdr>
    </w:div>
    <w:div w:id="312636226">
      <w:bodyDiv w:val="1"/>
      <w:marLeft w:val="0pt"/>
      <w:marRight w:val="0pt"/>
      <w:marTop w:val="0pt"/>
      <w:marBottom w:val="0pt"/>
      <w:divBdr>
        <w:top w:val="none" w:sz="0" w:space="0" w:color="auto"/>
        <w:left w:val="none" w:sz="0" w:space="0" w:color="auto"/>
        <w:bottom w:val="none" w:sz="0" w:space="0" w:color="auto"/>
        <w:right w:val="none" w:sz="0" w:space="0" w:color="auto"/>
      </w:divBdr>
    </w:div>
    <w:div w:id="357705031">
      <w:bodyDiv w:val="1"/>
      <w:marLeft w:val="0pt"/>
      <w:marRight w:val="0pt"/>
      <w:marTop w:val="0pt"/>
      <w:marBottom w:val="0pt"/>
      <w:divBdr>
        <w:top w:val="none" w:sz="0" w:space="0" w:color="auto"/>
        <w:left w:val="none" w:sz="0" w:space="0" w:color="auto"/>
        <w:bottom w:val="none" w:sz="0" w:space="0" w:color="auto"/>
        <w:right w:val="none" w:sz="0" w:space="0" w:color="auto"/>
      </w:divBdr>
    </w:div>
    <w:div w:id="384377091">
      <w:bodyDiv w:val="1"/>
      <w:marLeft w:val="0pt"/>
      <w:marRight w:val="0pt"/>
      <w:marTop w:val="0pt"/>
      <w:marBottom w:val="0pt"/>
      <w:divBdr>
        <w:top w:val="none" w:sz="0" w:space="0" w:color="auto"/>
        <w:left w:val="none" w:sz="0" w:space="0" w:color="auto"/>
        <w:bottom w:val="none" w:sz="0" w:space="0" w:color="auto"/>
        <w:right w:val="none" w:sz="0" w:space="0" w:color="auto"/>
      </w:divBdr>
    </w:div>
    <w:div w:id="395207116">
      <w:bodyDiv w:val="1"/>
      <w:marLeft w:val="0pt"/>
      <w:marRight w:val="0pt"/>
      <w:marTop w:val="0pt"/>
      <w:marBottom w:val="0pt"/>
      <w:divBdr>
        <w:top w:val="none" w:sz="0" w:space="0" w:color="auto"/>
        <w:left w:val="none" w:sz="0" w:space="0" w:color="auto"/>
        <w:bottom w:val="none" w:sz="0" w:space="0" w:color="auto"/>
        <w:right w:val="none" w:sz="0" w:space="0" w:color="auto"/>
      </w:divBdr>
    </w:div>
    <w:div w:id="415134402">
      <w:bodyDiv w:val="1"/>
      <w:marLeft w:val="0pt"/>
      <w:marRight w:val="0pt"/>
      <w:marTop w:val="0pt"/>
      <w:marBottom w:val="0pt"/>
      <w:divBdr>
        <w:top w:val="none" w:sz="0" w:space="0" w:color="auto"/>
        <w:left w:val="none" w:sz="0" w:space="0" w:color="auto"/>
        <w:bottom w:val="none" w:sz="0" w:space="0" w:color="auto"/>
        <w:right w:val="none" w:sz="0" w:space="0" w:color="auto"/>
      </w:divBdr>
    </w:div>
    <w:div w:id="427048644">
      <w:bodyDiv w:val="1"/>
      <w:marLeft w:val="0pt"/>
      <w:marRight w:val="0pt"/>
      <w:marTop w:val="0pt"/>
      <w:marBottom w:val="0pt"/>
      <w:divBdr>
        <w:top w:val="none" w:sz="0" w:space="0" w:color="auto"/>
        <w:left w:val="none" w:sz="0" w:space="0" w:color="auto"/>
        <w:bottom w:val="none" w:sz="0" w:space="0" w:color="auto"/>
        <w:right w:val="none" w:sz="0" w:space="0" w:color="auto"/>
      </w:divBdr>
    </w:div>
    <w:div w:id="430975663">
      <w:bodyDiv w:val="1"/>
      <w:marLeft w:val="0pt"/>
      <w:marRight w:val="0pt"/>
      <w:marTop w:val="0pt"/>
      <w:marBottom w:val="0pt"/>
      <w:divBdr>
        <w:top w:val="none" w:sz="0" w:space="0" w:color="auto"/>
        <w:left w:val="none" w:sz="0" w:space="0" w:color="auto"/>
        <w:bottom w:val="none" w:sz="0" w:space="0" w:color="auto"/>
        <w:right w:val="none" w:sz="0" w:space="0" w:color="auto"/>
      </w:divBdr>
    </w:div>
    <w:div w:id="442770582">
      <w:bodyDiv w:val="1"/>
      <w:marLeft w:val="0pt"/>
      <w:marRight w:val="0pt"/>
      <w:marTop w:val="0pt"/>
      <w:marBottom w:val="0pt"/>
      <w:divBdr>
        <w:top w:val="none" w:sz="0" w:space="0" w:color="auto"/>
        <w:left w:val="none" w:sz="0" w:space="0" w:color="auto"/>
        <w:bottom w:val="none" w:sz="0" w:space="0" w:color="auto"/>
        <w:right w:val="none" w:sz="0" w:space="0" w:color="auto"/>
      </w:divBdr>
    </w:div>
    <w:div w:id="461579669">
      <w:bodyDiv w:val="1"/>
      <w:marLeft w:val="0pt"/>
      <w:marRight w:val="0pt"/>
      <w:marTop w:val="0pt"/>
      <w:marBottom w:val="0pt"/>
      <w:divBdr>
        <w:top w:val="none" w:sz="0" w:space="0" w:color="auto"/>
        <w:left w:val="none" w:sz="0" w:space="0" w:color="auto"/>
        <w:bottom w:val="none" w:sz="0" w:space="0" w:color="auto"/>
        <w:right w:val="none" w:sz="0" w:space="0" w:color="auto"/>
      </w:divBdr>
    </w:div>
    <w:div w:id="495993973">
      <w:bodyDiv w:val="1"/>
      <w:marLeft w:val="0pt"/>
      <w:marRight w:val="0pt"/>
      <w:marTop w:val="0pt"/>
      <w:marBottom w:val="0pt"/>
      <w:divBdr>
        <w:top w:val="none" w:sz="0" w:space="0" w:color="auto"/>
        <w:left w:val="none" w:sz="0" w:space="0" w:color="auto"/>
        <w:bottom w:val="none" w:sz="0" w:space="0" w:color="auto"/>
        <w:right w:val="none" w:sz="0" w:space="0" w:color="auto"/>
      </w:divBdr>
    </w:div>
    <w:div w:id="532689191">
      <w:bodyDiv w:val="1"/>
      <w:marLeft w:val="0pt"/>
      <w:marRight w:val="0pt"/>
      <w:marTop w:val="0pt"/>
      <w:marBottom w:val="0pt"/>
      <w:divBdr>
        <w:top w:val="none" w:sz="0" w:space="0" w:color="auto"/>
        <w:left w:val="none" w:sz="0" w:space="0" w:color="auto"/>
        <w:bottom w:val="none" w:sz="0" w:space="0" w:color="auto"/>
        <w:right w:val="none" w:sz="0" w:space="0" w:color="auto"/>
      </w:divBdr>
    </w:div>
    <w:div w:id="537744005">
      <w:bodyDiv w:val="1"/>
      <w:marLeft w:val="0pt"/>
      <w:marRight w:val="0pt"/>
      <w:marTop w:val="0pt"/>
      <w:marBottom w:val="0pt"/>
      <w:divBdr>
        <w:top w:val="none" w:sz="0" w:space="0" w:color="auto"/>
        <w:left w:val="none" w:sz="0" w:space="0" w:color="auto"/>
        <w:bottom w:val="none" w:sz="0" w:space="0" w:color="auto"/>
        <w:right w:val="none" w:sz="0" w:space="0" w:color="auto"/>
      </w:divBdr>
    </w:div>
    <w:div w:id="541790806">
      <w:bodyDiv w:val="1"/>
      <w:marLeft w:val="0pt"/>
      <w:marRight w:val="0pt"/>
      <w:marTop w:val="0pt"/>
      <w:marBottom w:val="0pt"/>
      <w:divBdr>
        <w:top w:val="none" w:sz="0" w:space="0" w:color="auto"/>
        <w:left w:val="none" w:sz="0" w:space="0" w:color="auto"/>
        <w:bottom w:val="none" w:sz="0" w:space="0" w:color="auto"/>
        <w:right w:val="none" w:sz="0" w:space="0" w:color="auto"/>
      </w:divBdr>
    </w:div>
    <w:div w:id="542641271">
      <w:bodyDiv w:val="1"/>
      <w:marLeft w:val="0pt"/>
      <w:marRight w:val="0pt"/>
      <w:marTop w:val="0pt"/>
      <w:marBottom w:val="0pt"/>
      <w:divBdr>
        <w:top w:val="none" w:sz="0" w:space="0" w:color="auto"/>
        <w:left w:val="none" w:sz="0" w:space="0" w:color="auto"/>
        <w:bottom w:val="none" w:sz="0" w:space="0" w:color="auto"/>
        <w:right w:val="none" w:sz="0" w:space="0" w:color="auto"/>
      </w:divBdr>
    </w:div>
    <w:div w:id="568466222">
      <w:bodyDiv w:val="1"/>
      <w:marLeft w:val="0pt"/>
      <w:marRight w:val="0pt"/>
      <w:marTop w:val="0pt"/>
      <w:marBottom w:val="0pt"/>
      <w:divBdr>
        <w:top w:val="none" w:sz="0" w:space="0" w:color="auto"/>
        <w:left w:val="none" w:sz="0" w:space="0" w:color="auto"/>
        <w:bottom w:val="none" w:sz="0" w:space="0" w:color="auto"/>
        <w:right w:val="none" w:sz="0" w:space="0" w:color="auto"/>
      </w:divBdr>
    </w:div>
    <w:div w:id="647168307">
      <w:bodyDiv w:val="1"/>
      <w:marLeft w:val="0pt"/>
      <w:marRight w:val="0pt"/>
      <w:marTop w:val="0pt"/>
      <w:marBottom w:val="0pt"/>
      <w:divBdr>
        <w:top w:val="none" w:sz="0" w:space="0" w:color="auto"/>
        <w:left w:val="none" w:sz="0" w:space="0" w:color="auto"/>
        <w:bottom w:val="none" w:sz="0" w:space="0" w:color="auto"/>
        <w:right w:val="none" w:sz="0" w:space="0" w:color="auto"/>
      </w:divBdr>
    </w:div>
    <w:div w:id="656155509">
      <w:bodyDiv w:val="1"/>
      <w:marLeft w:val="0pt"/>
      <w:marRight w:val="0pt"/>
      <w:marTop w:val="0pt"/>
      <w:marBottom w:val="0pt"/>
      <w:divBdr>
        <w:top w:val="none" w:sz="0" w:space="0" w:color="auto"/>
        <w:left w:val="none" w:sz="0" w:space="0" w:color="auto"/>
        <w:bottom w:val="none" w:sz="0" w:space="0" w:color="auto"/>
        <w:right w:val="none" w:sz="0" w:space="0" w:color="auto"/>
      </w:divBdr>
    </w:div>
    <w:div w:id="662515948">
      <w:bodyDiv w:val="1"/>
      <w:marLeft w:val="0pt"/>
      <w:marRight w:val="0pt"/>
      <w:marTop w:val="0pt"/>
      <w:marBottom w:val="0pt"/>
      <w:divBdr>
        <w:top w:val="none" w:sz="0" w:space="0" w:color="auto"/>
        <w:left w:val="none" w:sz="0" w:space="0" w:color="auto"/>
        <w:bottom w:val="none" w:sz="0" w:space="0" w:color="auto"/>
        <w:right w:val="none" w:sz="0" w:space="0" w:color="auto"/>
      </w:divBdr>
    </w:div>
    <w:div w:id="670913992">
      <w:bodyDiv w:val="1"/>
      <w:marLeft w:val="0pt"/>
      <w:marRight w:val="0pt"/>
      <w:marTop w:val="0pt"/>
      <w:marBottom w:val="0pt"/>
      <w:divBdr>
        <w:top w:val="none" w:sz="0" w:space="0" w:color="auto"/>
        <w:left w:val="none" w:sz="0" w:space="0" w:color="auto"/>
        <w:bottom w:val="none" w:sz="0" w:space="0" w:color="auto"/>
        <w:right w:val="none" w:sz="0" w:space="0" w:color="auto"/>
      </w:divBdr>
    </w:div>
    <w:div w:id="701832353">
      <w:bodyDiv w:val="1"/>
      <w:marLeft w:val="0pt"/>
      <w:marRight w:val="0pt"/>
      <w:marTop w:val="0pt"/>
      <w:marBottom w:val="0pt"/>
      <w:divBdr>
        <w:top w:val="none" w:sz="0" w:space="0" w:color="auto"/>
        <w:left w:val="none" w:sz="0" w:space="0" w:color="auto"/>
        <w:bottom w:val="none" w:sz="0" w:space="0" w:color="auto"/>
        <w:right w:val="none" w:sz="0" w:space="0" w:color="auto"/>
      </w:divBdr>
    </w:div>
    <w:div w:id="710157545">
      <w:bodyDiv w:val="1"/>
      <w:marLeft w:val="0pt"/>
      <w:marRight w:val="0pt"/>
      <w:marTop w:val="0pt"/>
      <w:marBottom w:val="0pt"/>
      <w:divBdr>
        <w:top w:val="none" w:sz="0" w:space="0" w:color="auto"/>
        <w:left w:val="none" w:sz="0" w:space="0" w:color="auto"/>
        <w:bottom w:val="none" w:sz="0" w:space="0" w:color="auto"/>
        <w:right w:val="none" w:sz="0" w:space="0" w:color="auto"/>
      </w:divBdr>
    </w:div>
    <w:div w:id="716783238">
      <w:bodyDiv w:val="1"/>
      <w:marLeft w:val="0pt"/>
      <w:marRight w:val="0pt"/>
      <w:marTop w:val="0pt"/>
      <w:marBottom w:val="0pt"/>
      <w:divBdr>
        <w:top w:val="none" w:sz="0" w:space="0" w:color="auto"/>
        <w:left w:val="none" w:sz="0" w:space="0" w:color="auto"/>
        <w:bottom w:val="none" w:sz="0" w:space="0" w:color="auto"/>
        <w:right w:val="none" w:sz="0" w:space="0" w:color="auto"/>
      </w:divBdr>
    </w:div>
    <w:div w:id="723911535">
      <w:bodyDiv w:val="1"/>
      <w:marLeft w:val="0pt"/>
      <w:marRight w:val="0pt"/>
      <w:marTop w:val="0pt"/>
      <w:marBottom w:val="0pt"/>
      <w:divBdr>
        <w:top w:val="none" w:sz="0" w:space="0" w:color="auto"/>
        <w:left w:val="none" w:sz="0" w:space="0" w:color="auto"/>
        <w:bottom w:val="none" w:sz="0" w:space="0" w:color="auto"/>
        <w:right w:val="none" w:sz="0" w:space="0" w:color="auto"/>
      </w:divBdr>
    </w:div>
    <w:div w:id="751046820">
      <w:bodyDiv w:val="1"/>
      <w:marLeft w:val="0pt"/>
      <w:marRight w:val="0pt"/>
      <w:marTop w:val="0pt"/>
      <w:marBottom w:val="0pt"/>
      <w:divBdr>
        <w:top w:val="none" w:sz="0" w:space="0" w:color="auto"/>
        <w:left w:val="none" w:sz="0" w:space="0" w:color="auto"/>
        <w:bottom w:val="none" w:sz="0" w:space="0" w:color="auto"/>
        <w:right w:val="none" w:sz="0" w:space="0" w:color="auto"/>
      </w:divBdr>
    </w:div>
    <w:div w:id="755597129">
      <w:bodyDiv w:val="1"/>
      <w:marLeft w:val="0pt"/>
      <w:marRight w:val="0pt"/>
      <w:marTop w:val="0pt"/>
      <w:marBottom w:val="0pt"/>
      <w:divBdr>
        <w:top w:val="none" w:sz="0" w:space="0" w:color="auto"/>
        <w:left w:val="none" w:sz="0" w:space="0" w:color="auto"/>
        <w:bottom w:val="none" w:sz="0" w:space="0" w:color="auto"/>
        <w:right w:val="none" w:sz="0" w:space="0" w:color="auto"/>
      </w:divBdr>
    </w:div>
    <w:div w:id="770707508">
      <w:bodyDiv w:val="1"/>
      <w:marLeft w:val="0pt"/>
      <w:marRight w:val="0pt"/>
      <w:marTop w:val="0pt"/>
      <w:marBottom w:val="0pt"/>
      <w:divBdr>
        <w:top w:val="none" w:sz="0" w:space="0" w:color="auto"/>
        <w:left w:val="none" w:sz="0" w:space="0" w:color="auto"/>
        <w:bottom w:val="none" w:sz="0" w:space="0" w:color="auto"/>
        <w:right w:val="none" w:sz="0" w:space="0" w:color="auto"/>
      </w:divBdr>
    </w:div>
    <w:div w:id="781386474">
      <w:bodyDiv w:val="1"/>
      <w:marLeft w:val="0pt"/>
      <w:marRight w:val="0pt"/>
      <w:marTop w:val="0pt"/>
      <w:marBottom w:val="0pt"/>
      <w:divBdr>
        <w:top w:val="none" w:sz="0" w:space="0" w:color="auto"/>
        <w:left w:val="none" w:sz="0" w:space="0" w:color="auto"/>
        <w:bottom w:val="none" w:sz="0" w:space="0" w:color="auto"/>
        <w:right w:val="none" w:sz="0" w:space="0" w:color="auto"/>
      </w:divBdr>
    </w:div>
    <w:div w:id="789397019">
      <w:bodyDiv w:val="1"/>
      <w:marLeft w:val="0pt"/>
      <w:marRight w:val="0pt"/>
      <w:marTop w:val="0pt"/>
      <w:marBottom w:val="0pt"/>
      <w:divBdr>
        <w:top w:val="none" w:sz="0" w:space="0" w:color="auto"/>
        <w:left w:val="none" w:sz="0" w:space="0" w:color="auto"/>
        <w:bottom w:val="none" w:sz="0" w:space="0" w:color="auto"/>
        <w:right w:val="none" w:sz="0" w:space="0" w:color="auto"/>
      </w:divBdr>
    </w:div>
    <w:div w:id="799106027">
      <w:bodyDiv w:val="1"/>
      <w:marLeft w:val="0pt"/>
      <w:marRight w:val="0pt"/>
      <w:marTop w:val="0pt"/>
      <w:marBottom w:val="0pt"/>
      <w:divBdr>
        <w:top w:val="none" w:sz="0" w:space="0" w:color="auto"/>
        <w:left w:val="none" w:sz="0" w:space="0" w:color="auto"/>
        <w:bottom w:val="none" w:sz="0" w:space="0" w:color="auto"/>
        <w:right w:val="none" w:sz="0" w:space="0" w:color="auto"/>
      </w:divBdr>
    </w:div>
    <w:div w:id="834029062">
      <w:bodyDiv w:val="1"/>
      <w:marLeft w:val="0pt"/>
      <w:marRight w:val="0pt"/>
      <w:marTop w:val="0pt"/>
      <w:marBottom w:val="0pt"/>
      <w:divBdr>
        <w:top w:val="none" w:sz="0" w:space="0" w:color="auto"/>
        <w:left w:val="none" w:sz="0" w:space="0" w:color="auto"/>
        <w:bottom w:val="none" w:sz="0" w:space="0" w:color="auto"/>
        <w:right w:val="none" w:sz="0" w:space="0" w:color="auto"/>
      </w:divBdr>
    </w:div>
    <w:div w:id="850029295">
      <w:bodyDiv w:val="1"/>
      <w:marLeft w:val="0pt"/>
      <w:marRight w:val="0pt"/>
      <w:marTop w:val="0pt"/>
      <w:marBottom w:val="0pt"/>
      <w:divBdr>
        <w:top w:val="none" w:sz="0" w:space="0" w:color="auto"/>
        <w:left w:val="none" w:sz="0" w:space="0" w:color="auto"/>
        <w:bottom w:val="none" w:sz="0" w:space="0" w:color="auto"/>
        <w:right w:val="none" w:sz="0" w:space="0" w:color="auto"/>
      </w:divBdr>
    </w:div>
    <w:div w:id="854609682">
      <w:bodyDiv w:val="1"/>
      <w:marLeft w:val="0pt"/>
      <w:marRight w:val="0pt"/>
      <w:marTop w:val="0pt"/>
      <w:marBottom w:val="0pt"/>
      <w:divBdr>
        <w:top w:val="none" w:sz="0" w:space="0" w:color="auto"/>
        <w:left w:val="none" w:sz="0" w:space="0" w:color="auto"/>
        <w:bottom w:val="none" w:sz="0" w:space="0" w:color="auto"/>
        <w:right w:val="none" w:sz="0" w:space="0" w:color="auto"/>
      </w:divBdr>
    </w:div>
    <w:div w:id="867526680">
      <w:bodyDiv w:val="1"/>
      <w:marLeft w:val="0pt"/>
      <w:marRight w:val="0pt"/>
      <w:marTop w:val="0pt"/>
      <w:marBottom w:val="0pt"/>
      <w:divBdr>
        <w:top w:val="none" w:sz="0" w:space="0" w:color="auto"/>
        <w:left w:val="none" w:sz="0" w:space="0" w:color="auto"/>
        <w:bottom w:val="none" w:sz="0" w:space="0" w:color="auto"/>
        <w:right w:val="none" w:sz="0" w:space="0" w:color="auto"/>
      </w:divBdr>
    </w:div>
    <w:div w:id="890263098">
      <w:bodyDiv w:val="1"/>
      <w:marLeft w:val="0pt"/>
      <w:marRight w:val="0pt"/>
      <w:marTop w:val="0pt"/>
      <w:marBottom w:val="0pt"/>
      <w:divBdr>
        <w:top w:val="none" w:sz="0" w:space="0" w:color="auto"/>
        <w:left w:val="none" w:sz="0" w:space="0" w:color="auto"/>
        <w:bottom w:val="none" w:sz="0" w:space="0" w:color="auto"/>
        <w:right w:val="none" w:sz="0" w:space="0" w:color="auto"/>
      </w:divBdr>
    </w:div>
    <w:div w:id="890464217">
      <w:bodyDiv w:val="1"/>
      <w:marLeft w:val="0pt"/>
      <w:marRight w:val="0pt"/>
      <w:marTop w:val="0pt"/>
      <w:marBottom w:val="0pt"/>
      <w:divBdr>
        <w:top w:val="none" w:sz="0" w:space="0" w:color="auto"/>
        <w:left w:val="none" w:sz="0" w:space="0" w:color="auto"/>
        <w:bottom w:val="none" w:sz="0" w:space="0" w:color="auto"/>
        <w:right w:val="none" w:sz="0" w:space="0" w:color="auto"/>
      </w:divBdr>
    </w:div>
    <w:div w:id="902105669">
      <w:bodyDiv w:val="1"/>
      <w:marLeft w:val="0pt"/>
      <w:marRight w:val="0pt"/>
      <w:marTop w:val="0pt"/>
      <w:marBottom w:val="0pt"/>
      <w:divBdr>
        <w:top w:val="none" w:sz="0" w:space="0" w:color="auto"/>
        <w:left w:val="none" w:sz="0" w:space="0" w:color="auto"/>
        <w:bottom w:val="none" w:sz="0" w:space="0" w:color="auto"/>
        <w:right w:val="none" w:sz="0" w:space="0" w:color="auto"/>
      </w:divBdr>
    </w:div>
    <w:div w:id="931621499">
      <w:bodyDiv w:val="1"/>
      <w:marLeft w:val="0pt"/>
      <w:marRight w:val="0pt"/>
      <w:marTop w:val="0pt"/>
      <w:marBottom w:val="0pt"/>
      <w:divBdr>
        <w:top w:val="none" w:sz="0" w:space="0" w:color="auto"/>
        <w:left w:val="none" w:sz="0" w:space="0" w:color="auto"/>
        <w:bottom w:val="none" w:sz="0" w:space="0" w:color="auto"/>
        <w:right w:val="none" w:sz="0" w:space="0" w:color="auto"/>
      </w:divBdr>
    </w:div>
    <w:div w:id="961885367">
      <w:bodyDiv w:val="1"/>
      <w:marLeft w:val="0pt"/>
      <w:marRight w:val="0pt"/>
      <w:marTop w:val="0pt"/>
      <w:marBottom w:val="0pt"/>
      <w:divBdr>
        <w:top w:val="none" w:sz="0" w:space="0" w:color="auto"/>
        <w:left w:val="none" w:sz="0" w:space="0" w:color="auto"/>
        <w:bottom w:val="none" w:sz="0" w:space="0" w:color="auto"/>
        <w:right w:val="none" w:sz="0" w:space="0" w:color="auto"/>
      </w:divBdr>
    </w:div>
    <w:div w:id="965164535">
      <w:bodyDiv w:val="1"/>
      <w:marLeft w:val="0pt"/>
      <w:marRight w:val="0pt"/>
      <w:marTop w:val="0pt"/>
      <w:marBottom w:val="0pt"/>
      <w:divBdr>
        <w:top w:val="none" w:sz="0" w:space="0" w:color="auto"/>
        <w:left w:val="none" w:sz="0" w:space="0" w:color="auto"/>
        <w:bottom w:val="none" w:sz="0" w:space="0" w:color="auto"/>
        <w:right w:val="none" w:sz="0" w:space="0" w:color="auto"/>
      </w:divBdr>
    </w:div>
    <w:div w:id="971205984">
      <w:bodyDiv w:val="1"/>
      <w:marLeft w:val="0pt"/>
      <w:marRight w:val="0pt"/>
      <w:marTop w:val="0pt"/>
      <w:marBottom w:val="0pt"/>
      <w:divBdr>
        <w:top w:val="none" w:sz="0" w:space="0" w:color="auto"/>
        <w:left w:val="none" w:sz="0" w:space="0" w:color="auto"/>
        <w:bottom w:val="none" w:sz="0" w:space="0" w:color="auto"/>
        <w:right w:val="none" w:sz="0" w:space="0" w:color="auto"/>
      </w:divBdr>
    </w:div>
    <w:div w:id="977223352">
      <w:bodyDiv w:val="1"/>
      <w:marLeft w:val="0pt"/>
      <w:marRight w:val="0pt"/>
      <w:marTop w:val="0pt"/>
      <w:marBottom w:val="0pt"/>
      <w:divBdr>
        <w:top w:val="none" w:sz="0" w:space="0" w:color="auto"/>
        <w:left w:val="none" w:sz="0" w:space="0" w:color="auto"/>
        <w:bottom w:val="none" w:sz="0" w:space="0" w:color="auto"/>
        <w:right w:val="none" w:sz="0" w:space="0" w:color="auto"/>
      </w:divBdr>
    </w:div>
    <w:div w:id="994727423">
      <w:bodyDiv w:val="1"/>
      <w:marLeft w:val="0pt"/>
      <w:marRight w:val="0pt"/>
      <w:marTop w:val="0pt"/>
      <w:marBottom w:val="0pt"/>
      <w:divBdr>
        <w:top w:val="none" w:sz="0" w:space="0" w:color="auto"/>
        <w:left w:val="none" w:sz="0" w:space="0" w:color="auto"/>
        <w:bottom w:val="none" w:sz="0" w:space="0" w:color="auto"/>
        <w:right w:val="none" w:sz="0" w:space="0" w:color="auto"/>
      </w:divBdr>
    </w:div>
    <w:div w:id="1021513871">
      <w:bodyDiv w:val="1"/>
      <w:marLeft w:val="0pt"/>
      <w:marRight w:val="0pt"/>
      <w:marTop w:val="0pt"/>
      <w:marBottom w:val="0pt"/>
      <w:divBdr>
        <w:top w:val="none" w:sz="0" w:space="0" w:color="auto"/>
        <w:left w:val="none" w:sz="0" w:space="0" w:color="auto"/>
        <w:bottom w:val="none" w:sz="0" w:space="0" w:color="auto"/>
        <w:right w:val="none" w:sz="0" w:space="0" w:color="auto"/>
      </w:divBdr>
    </w:div>
    <w:div w:id="1041710336">
      <w:bodyDiv w:val="1"/>
      <w:marLeft w:val="0pt"/>
      <w:marRight w:val="0pt"/>
      <w:marTop w:val="0pt"/>
      <w:marBottom w:val="0pt"/>
      <w:divBdr>
        <w:top w:val="none" w:sz="0" w:space="0" w:color="auto"/>
        <w:left w:val="none" w:sz="0" w:space="0" w:color="auto"/>
        <w:bottom w:val="none" w:sz="0" w:space="0" w:color="auto"/>
        <w:right w:val="none" w:sz="0" w:space="0" w:color="auto"/>
      </w:divBdr>
    </w:div>
    <w:div w:id="1042755399">
      <w:bodyDiv w:val="1"/>
      <w:marLeft w:val="0pt"/>
      <w:marRight w:val="0pt"/>
      <w:marTop w:val="0pt"/>
      <w:marBottom w:val="0pt"/>
      <w:divBdr>
        <w:top w:val="none" w:sz="0" w:space="0" w:color="auto"/>
        <w:left w:val="none" w:sz="0" w:space="0" w:color="auto"/>
        <w:bottom w:val="none" w:sz="0" w:space="0" w:color="auto"/>
        <w:right w:val="none" w:sz="0" w:space="0" w:color="auto"/>
      </w:divBdr>
    </w:div>
    <w:div w:id="1051467366">
      <w:bodyDiv w:val="1"/>
      <w:marLeft w:val="0pt"/>
      <w:marRight w:val="0pt"/>
      <w:marTop w:val="0pt"/>
      <w:marBottom w:val="0pt"/>
      <w:divBdr>
        <w:top w:val="none" w:sz="0" w:space="0" w:color="auto"/>
        <w:left w:val="none" w:sz="0" w:space="0" w:color="auto"/>
        <w:bottom w:val="none" w:sz="0" w:space="0" w:color="auto"/>
        <w:right w:val="none" w:sz="0" w:space="0" w:color="auto"/>
      </w:divBdr>
    </w:div>
    <w:div w:id="1097023081">
      <w:bodyDiv w:val="1"/>
      <w:marLeft w:val="0pt"/>
      <w:marRight w:val="0pt"/>
      <w:marTop w:val="0pt"/>
      <w:marBottom w:val="0pt"/>
      <w:divBdr>
        <w:top w:val="none" w:sz="0" w:space="0" w:color="auto"/>
        <w:left w:val="none" w:sz="0" w:space="0" w:color="auto"/>
        <w:bottom w:val="none" w:sz="0" w:space="0" w:color="auto"/>
        <w:right w:val="none" w:sz="0" w:space="0" w:color="auto"/>
      </w:divBdr>
    </w:div>
    <w:div w:id="1123884813">
      <w:bodyDiv w:val="1"/>
      <w:marLeft w:val="0pt"/>
      <w:marRight w:val="0pt"/>
      <w:marTop w:val="0pt"/>
      <w:marBottom w:val="0pt"/>
      <w:divBdr>
        <w:top w:val="none" w:sz="0" w:space="0" w:color="auto"/>
        <w:left w:val="none" w:sz="0" w:space="0" w:color="auto"/>
        <w:bottom w:val="none" w:sz="0" w:space="0" w:color="auto"/>
        <w:right w:val="none" w:sz="0" w:space="0" w:color="auto"/>
      </w:divBdr>
    </w:div>
    <w:div w:id="1152797616">
      <w:bodyDiv w:val="1"/>
      <w:marLeft w:val="0pt"/>
      <w:marRight w:val="0pt"/>
      <w:marTop w:val="0pt"/>
      <w:marBottom w:val="0pt"/>
      <w:divBdr>
        <w:top w:val="none" w:sz="0" w:space="0" w:color="auto"/>
        <w:left w:val="none" w:sz="0" w:space="0" w:color="auto"/>
        <w:bottom w:val="none" w:sz="0" w:space="0" w:color="auto"/>
        <w:right w:val="none" w:sz="0" w:space="0" w:color="auto"/>
      </w:divBdr>
    </w:div>
    <w:div w:id="1155685850">
      <w:bodyDiv w:val="1"/>
      <w:marLeft w:val="0pt"/>
      <w:marRight w:val="0pt"/>
      <w:marTop w:val="0pt"/>
      <w:marBottom w:val="0pt"/>
      <w:divBdr>
        <w:top w:val="none" w:sz="0" w:space="0" w:color="auto"/>
        <w:left w:val="none" w:sz="0" w:space="0" w:color="auto"/>
        <w:bottom w:val="none" w:sz="0" w:space="0" w:color="auto"/>
        <w:right w:val="none" w:sz="0" w:space="0" w:color="auto"/>
      </w:divBdr>
    </w:div>
    <w:div w:id="1162353862">
      <w:bodyDiv w:val="1"/>
      <w:marLeft w:val="0pt"/>
      <w:marRight w:val="0pt"/>
      <w:marTop w:val="0pt"/>
      <w:marBottom w:val="0pt"/>
      <w:divBdr>
        <w:top w:val="none" w:sz="0" w:space="0" w:color="auto"/>
        <w:left w:val="none" w:sz="0" w:space="0" w:color="auto"/>
        <w:bottom w:val="none" w:sz="0" w:space="0" w:color="auto"/>
        <w:right w:val="none" w:sz="0" w:space="0" w:color="auto"/>
      </w:divBdr>
    </w:div>
    <w:div w:id="1165437904">
      <w:bodyDiv w:val="1"/>
      <w:marLeft w:val="0pt"/>
      <w:marRight w:val="0pt"/>
      <w:marTop w:val="0pt"/>
      <w:marBottom w:val="0pt"/>
      <w:divBdr>
        <w:top w:val="none" w:sz="0" w:space="0" w:color="auto"/>
        <w:left w:val="none" w:sz="0" w:space="0" w:color="auto"/>
        <w:bottom w:val="none" w:sz="0" w:space="0" w:color="auto"/>
        <w:right w:val="none" w:sz="0" w:space="0" w:color="auto"/>
      </w:divBdr>
    </w:div>
    <w:div w:id="1173372750">
      <w:bodyDiv w:val="1"/>
      <w:marLeft w:val="0pt"/>
      <w:marRight w:val="0pt"/>
      <w:marTop w:val="0pt"/>
      <w:marBottom w:val="0pt"/>
      <w:divBdr>
        <w:top w:val="none" w:sz="0" w:space="0" w:color="auto"/>
        <w:left w:val="none" w:sz="0" w:space="0" w:color="auto"/>
        <w:bottom w:val="none" w:sz="0" w:space="0" w:color="auto"/>
        <w:right w:val="none" w:sz="0" w:space="0" w:color="auto"/>
      </w:divBdr>
    </w:div>
    <w:div w:id="1184200231">
      <w:bodyDiv w:val="1"/>
      <w:marLeft w:val="0pt"/>
      <w:marRight w:val="0pt"/>
      <w:marTop w:val="0pt"/>
      <w:marBottom w:val="0pt"/>
      <w:divBdr>
        <w:top w:val="none" w:sz="0" w:space="0" w:color="auto"/>
        <w:left w:val="none" w:sz="0" w:space="0" w:color="auto"/>
        <w:bottom w:val="none" w:sz="0" w:space="0" w:color="auto"/>
        <w:right w:val="none" w:sz="0" w:space="0" w:color="auto"/>
      </w:divBdr>
    </w:div>
    <w:div w:id="1229998309">
      <w:bodyDiv w:val="1"/>
      <w:marLeft w:val="0pt"/>
      <w:marRight w:val="0pt"/>
      <w:marTop w:val="0pt"/>
      <w:marBottom w:val="0pt"/>
      <w:divBdr>
        <w:top w:val="none" w:sz="0" w:space="0" w:color="auto"/>
        <w:left w:val="none" w:sz="0" w:space="0" w:color="auto"/>
        <w:bottom w:val="none" w:sz="0" w:space="0" w:color="auto"/>
        <w:right w:val="none" w:sz="0" w:space="0" w:color="auto"/>
      </w:divBdr>
    </w:div>
    <w:div w:id="1244954380">
      <w:bodyDiv w:val="1"/>
      <w:marLeft w:val="0pt"/>
      <w:marRight w:val="0pt"/>
      <w:marTop w:val="0pt"/>
      <w:marBottom w:val="0pt"/>
      <w:divBdr>
        <w:top w:val="none" w:sz="0" w:space="0" w:color="auto"/>
        <w:left w:val="none" w:sz="0" w:space="0" w:color="auto"/>
        <w:bottom w:val="none" w:sz="0" w:space="0" w:color="auto"/>
        <w:right w:val="none" w:sz="0" w:space="0" w:color="auto"/>
      </w:divBdr>
    </w:div>
    <w:div w:id="1274367214">
      <w:bodyDiv w:val="1"/>
      <w:marLeft w:val="0pt"/>
      <w:marRight w:val="0pt"/>
      <w:marTop w:val="0pt"/>
      <w:marBottom w:val="0pt"/>
      <w:divBdr>
        <w:top w:val="none" w:sz="0" w:space="0" w:color="auto"/>
        <w:left w:val="none" w:sz="0" w:space="0" w:color="auto"/>
        <w:bottom w:val="none" w:sz="0" w:space="0" w:color="auto"/>
        <w:right w:val="none" w:sz="0" w:space="0" w:color="auto"/>
      </w:divBdr>
    </w:div>
    <w:div w:id="1294292270">
      <w:bodyDiv w:val="1"/>
      <w:marLeft w:val="0pt"/>
      <w:marRight w:val="0pt"/>
      <w:marTop w:val="0pt"/>
      <w:marBottom w:val="0pt"/>
      <w:divBdr>
        <w:top w:val="none" w:sz="0" w:space="0" w:color="auto"/>
        <w:left w:val="none" w:sz="0" w:space="0" w:color="auto"/>
        <w:bottom w:val="none" w:sz="0" w:space="0" w:color="auto"/>
        <w:right w:val="none" w:sz="0" w:space="0" w:color="auto"/>
      </w:divBdr>
    </w:div>
    <w:div w:id="1307661926">
      <w:bodyDiv w:val="1"/>
      <w:marLeft w:val="0pt"/>
      <w:marRight w:val="0pt"/>
      <w:marTop w:val="0pt"/>
      <w:marBottom w:val="0pt"/>
      <w:divBdr>
        <w:top w:val="none" w:sz="0" w:space="0" w:color="auto"/>
        <w:left w:val="none" w:sz="0" w:space="0" w:color="auto"/>
        <w:bottom w:val="none" w:sz="0" w:space="0" w:color="auto"/>
        <w:right w:val="none" w:sz="0" w:space="0" w:color="auto"/>
      </w:divBdr>
    </w:div>
    <w:div w:id="1320961152">
      <w:bodyDiv w:val="1"/>
      <w:marLeft w:val="0pt"/>
      <w:marRight w:val="0pt"/>
      <w:marTop w:val="0pt"/>
      <w:marBottom w:val="0pt"/>
      <w:divBdr>
        <w:top w:val="none" w:sz="0" w:space="0" w:color="auto"/>
        <w:left w:val="none" w:sz="0" w:space="0" w:color="auto"/>
        <w:bottom w:val="none" w:sz="0" w:space="0" w:color="auto"/>
        <w:right w:val="none" w:sz="0" w:space="0" w:color="auto"/>
      </w:divBdr>
    </w:div>
    <w:div w:id="1367675803">
      <w:bodyDiv w:val="1"/>
      <w:marLeft w:val="0pt"/>
      <w:marRight w:val="0pt"/>
      <w:marTop w:val="0pt"/>
      <w:marBottom w:val="0pt"/>
      <w:divBdr>
        <w:top w:val="none" w:sz="0" w:space="0" w:color="auto"/>
        <w:left w:val="none" w:sz="0" w:space="0" w:color="auto"/>
        <w:bottom w:val="none" w:sz="0" w:space="0" w:color="auto"/>
        <w:right w:val="none" w:sz="0" w:space="0" w:color="auto"/>
      </w:divBdr>
    </w:div>
    <w:div w:id="1378044327">
      <w:bodyDiv w:val="1"/>
      <w:marLeft w:val="0pt"/>
      <w:marRight w:val="0pt"/>
      <w:marTop w:val="0pt"/>
      <w:marBottom w:val="0pt"/>
      <w:divBdr>
        <w:top w:val="none" w:sz="0" w:space="0" w:color="auto"/>
        <w:left w:val="none" w:sz="0" w:space="0" w:color="auto"/>
        <w:bottom w:val="none" w:sz="0" w:space="0" w:color="auto"/>
        <w:right w:val="none" w:sz="0" w:space="0" w:color="auto"/>
      </w:divBdr>
    </w:div>
    <w:div w:id="1392074371">
      <w:bodyDiv w:val="1"/>
      <w:marLeft w:val="0pt"/>
      <w:marRight w:val="0pt"/>
      <w:marTop w:val="0pt"/>
      <w:marBottom w:val="0pt"/>
      <w:divBdr>
        <w:top w:val="none" w:sz="0" w:space="0" w:color="auto"/>
        <w:left w:val="none" w:sz="0" w:space="0" w:color="auto"/>
        <w:bottom w:val="none" w:sz="0" w:space="0" w:color="auto"/>
        <w:right w:val="none" w:sz="0" w:space="0" w:color="auto"/>
      </w:divBdr>
    </w:div>
    <w:div w:id="1407996877">
      <w:bodyDiv w:val="1"/>
      <w:marLeft w:val="0pt"/>
      <w:marRight w:val="0pt"/>
      <w:marTop w:val="0pt"/>
      <w:marBottom w:val="0pt"/>
      <w:divBdr>
        <w:top w:val="none" w:sz="0" w:space="0" w:color="auto"/>
        <w:left w:val="none" w:sz="0" w:space="0" w:color="auto"/>
        <w:bottom w:val="none" w:sz="0" w:space="0" w:color="auto"/>
        <w:right w:val="none" w:sz="0" w:space="0" w:color="auto"/>
      </w:divBdr>
    </w:div>
    <w:div w:id="1411274364">
      <w:bodyDiv w:val="1"/>
      <w:marLeft w:val="0pt"/>
      <w:marRight w:val="0pt"/>
      <w:marTop w:val="0pt"/>
      <w:marBottom w:val="0pt"/>
      <w:divBdr>
        <w:top w:val="none" w:sz="0" w:space="0" w:color="auto"/>
        <w:left w:val="none" w:sz="0" w:space="0" w:color="auto"/>
        <w:bottom w:val="none" w:sz="0" w:space="0" w:color="auto"/>
        <w:right w:val="none" w:sz="0" w:space="0" w:color="auto"/>
      </w:divBdr>
    </w:div>
    <w:div w:id="1413351003">
      <w:bodyDiv w:val="1"/>
      <w:marLeft w:val="0pt"/>
      <w:marRight w:val="0pt"/>
      <w:marTop w:val="0pt"/>
      <w:marBottom w:val="0pt"/>
      <w:divBdr>
        <w:top w:val="none" w:sz="0" w:space="0" w:color="auto"/>
        <w:left w:val="none" w:sz="0" w:space="0" w:color="auto"/>
        <w:bottom w:val="none" w:sz="0" w:space="0" w:color="auto"/>
        <w:right w:val="none" w:sz="0" w:space="0" w:color="auto"/>
      </w:divBdr>
    </w:div>
    <w:div w:id="1422338926">
      <w:bodyDiv w:val="1"/>
      <w:marLeft w:val="0pt"/>
      <w:marRight w:val="0pt"/>
      <w:marTop w:val="0pt"/>
      <w:marBottom w:val="0pt"/>
      <w:divBdr>
        <w:top w:val="none" w:sz="0" w:space="0" w:color="auto"/>
        <w:left w:val="none" w:sz="0" w:space="0" w:color="auto"/>
        <w:bottom w:val="none" w:sz="0" w:space="0" w:color="auto"/>
        <w:right w:val="none" w:sz="0" w:space="0" w:color="auto"/>
      </w:divBdr>
    </w:div>
    <w:div w:id="1460492641">
      <w:bodyDiv w:val="1"/>
      <w:marLeft w:val="0pt"/>
      <w:marRight w:val="0pt"/>
      <w:marTop w:val="0pt"/>
      <w:marBottom w:val="0pt"/>
      <w:divBdr>
        <w:top w:val="none" w:sz="0" w:space="0" w:color="auto"/>
        <w:left w:val="none" w:sz="0" w:space="0" w:color="auto"/>
        <w:bottom w:val="none" w:sz="0" w:space="0" w:color="auto"/>
        <w:right w:val="none" w:sz="0" w:space="0" w:color="auto"/>
      </w:divBdr>
    </w:div>
    <w:div w:id="1463881309">
      <w:bodyDiv w:val="1"/>
      <w:marLeft w:val="0pt"/>
      <w:marRight w:val="0pt"/>
      <w:marTop w:val="0pt"/>
      <w:marBottom w:val="0pt"/>
      <w:divBdr>
        <w:top w:val="none" w:sz="0" w:space="0" w:color="auto"/>
        <w:left w:val="none" w:sz="0" w:space="0" w:color="auto"/>
        <w:bottom w:val="none" w:sz="0" w:space="0" w:color="auto"/>
        <w:right w:val="none" w:sz="0" w:space="0" w:color="auto"/>
      </w:divBdr>
    </w:div>
    <w:div w:id="1468627103">
      <w:bodyDiv w:val="1"/>
      <w:marLeft w:val="0pt"/>
      <w:marRight w:val="0pt"/>
      <w:marTop w:val="0pt"/>
      <w:marBottom w:val="0pt"/>
      <w:divBdr>
        <w:top w:val="none" w:sz="0" w:space="0" w:color="auto"/>
        <w:left w:val="none" w:sz="0" w:space="0" w:color="auto"/>
        <w:bottom w:val="none" w:sz="0" w:space="0" w:color="auto"/>
        <w:right w:val="none" w:sz="0" w:space="0" w:color="auto"/>
      </w:divBdr>
    </w:div>
    <w:div w:id="1492453150">
      <w:bodyDiv w:val="1"/>
      <w:marLeft w:val="0pt"/>
      <w:marRight w:val="0pt"/>
      <w:marTop w:val="0pt"/>
      <w:marBottom w:val="0pt"/>
      <w:divBdr>
        <w:top w:val="none" w:sz="0" w:space="0" w:color="auto"/>
        <w:left w:val="none" w:sz="0" w:space="0" w:color="auto"/>
        <w:bottom w:val="none" w:sz="0" w:space="0" w:color="auto"/>
        <w:right w:val="none" w:sz="0" w:space="0" w:color="auto"/>
      </w:divBdr>
    </w:div>
    <w:div w:id="1493061672">
      <w:bodyDiv w:val="1"/>
      <w:marLeft w:val="0pt"/>
      <w:marRight w:val="0pt"/>
      <w:marTop w:val="0pt"/>
      <w:marBottom w:val="0pt"/>
      <w:divBdr>
        <w:top w:val="none" w:sz="0" w:space="0" w:color="auto"/>
        <w:left w:val="none" w:sz="0" w:space="0" w:color="auto"/>
        <w:bottom w:val="none" w:sz="0" w:space="0" w:color="auto"/>
        <w:right w:val="none" w:sz="0" w:space="0" w:color="auto"/>
      </w:divBdr>
    </w:div>
    <w:div w:id="1508985155">
      <w:bodyDiv w:val="1"/>
      <w:marLeft w:val="0pt"/>
      <w:marRight w:val="0pt"/>
      <w:marTop w:val="0pt"/>
      <w:marBottom w:val="0pt"/>
      <w:divBdr>
        <w:top w:val="none" w:sz="0" w:space="0" w:color="auto"/>
        <w:left w:val="none" w:sz="0" w:space="0" w:color="auto"/>
        <w:bottom w:val="none" w:sz="0" w:space="0" w:color="auto"/>
        <w:right w:val="none" w:sz="0" w:space="0" w:color="auto"/>
      </w:divBdr>
    </w:div>
    <w:div w:id="1548293903">
      <w:bodyDiv w:val="1"/>
      <w:marLeft w:val="0pt"/>
      <w:marRight w:val="0pt"/>
      <w:marTop w:val="0pt"/>
      <w:marBottom w:val="0pt"/>
      <w:divBdr>
        <w:top w:val="none" w:sz="0" w:space="0" w:color="auto"/>
        <w:left w:val="none" w:sz="0" w:space="0" w:color="auto"/>
        <w:bottom w:val="none" w:sz="0" w:space="0" w:color="auto"/>
        <w:right w:val="none" w:sz="0" w:space="0" w:color="auto"/>
      </w:divBdr>
    </w:div>
    <w:div w:id="1575124380">
      <w:bodyDiv w:val="1"/>
      <w:marLeft w:val="0pt"/>
      <w:marRight w:val="0pt"/>
      <w:marTop w:val="0pt"/>
      <w:marBottom w:val="0pt"/>
      <w:divBdr>
        <w:top w:val="none" w:sz="0" w:space="0" w:color="auto"/>
        <w:left w:val="none" w:sz="0" w:space="0" w:color="auto"/>
        <w:bottom w:val="none" w:sz="0" w:space="0" w:color="auto"/>
        <w:right w:val="none" w:sz="0" w:space="0" w:color="auto"/>
      </w:divBdr>
    </w:div>
    <w:div w:id="1576164784">
      <w:bodyDiv w:val="1"/>
      <w:marLeft w:val="0pt"/>
      <w:marRight w:val="0pt"/>
      <w:marTop w:val="0pt"/>
      <w:marBottom w:val="0pt"/>
      <w:divBdr>
        <w:top w:val="none" w:sz="0" w:space="0" w:color="auto"/>
        <w:left w:val="none" w:sz="0" w:space="0" w:color="auto"/>
        <w:bottom w:val="none" w:sz="0" w:space="0" w:color="auto"/>
        <w:right w:val="none" w:sz="0" w:space="0" w:color="auto"/>
      </w:divBdr>
    </w:div>
    <w:div w:id="1599483278">
      <w:bodyDiv w:val="1"/>
      <w:marLeft w:val="0pt"/>
      <w:marRight w:val="0pt"/>
      <w:marTop w:val="0pt"/>
      <w:marBottom w:val="0pt"/>
      <w:divBdr>
        <w:top w:val="none" w:sz="0" w:space="0" w:color="auto"/>
        <w:left w:val="none" w:sz="0" w:space="0" w:color="auto"/>
        <w:bottom w:val="none" w:sz="0" w:space="0" w:color="auto"/>
        <w:right w:val="none" w:sz="0" w:space="0" w:color="auto"/>
      </w:divBdr>
    </w:div>
    <w:div w:id="1606383180">
      <w:bodyDiv w:val="1"/>
      <w:marLeft w:val="0pt"/>
      <w:marRight w:val="0pt"/>
      <w:marTop w:val="0pt"/>
      <w:marBottom w:val="0pt"/>
      <w:divBdr>
        <w:top w:val="none" w:sz="0" w:space="0" w:color="auto"/>
        <w:left w:val="none" w:sz="0" w:space="0" w:color="auto"/>
        <w:bottom w:val="none" w:sz="0" w:space="0" w:color="auto"/>
        <w:right w:val="none" w:sz="0" w:space="0" w:color="auto"/>
      </w:divBdr>
    </w:div>
    <w:div w:id="1615284078">
      <w:bodyDiv w:val="1"/>
      <w:marLeft w:val="0pt"/>
      <w:marRight w:val="0pt"/>
      <w:marTop w:val="0pt"/>
      <w:marBottom w:val="0pt"/>
      <w:divBdr>
        <w:top w:val="none" w:sz="0" w:space="0" w:color="auto"/>
        <w:left w:val="none" w:sz="0" w:space="0" w:color="auto"/>
        <w:bottom w:val="none" w:sz="0" w:space="0" w:color="auto"/>
        <w:right w:val="none" w:sz="0" w:space="0" w:color="auto"/>
      </w:divBdr>
    </w:div>
    <w:div w:id="1648584746">
      <w:bodyDiv w:val="1"/>
      <w:marLeft w:val="0pt"/>
      <w:marRight w:val="0pt"/>
      <w:marTop w:val="0pt"/>
      <w:marBottom w:val="0pt"/>
      <w:divBdr>
        <w:top w:val="none" w:sz="0" w:space="0" w:color="auto"/>
        <w:left w:val="none" w:sz="0" w:space="0" w:color="auto"/>
        <w:bottom w:val="none" w:sz="0" w:space="0" w:color="auto"/>
        <w:right w:val="none" w:sz="0" w:space="0" w:color="auto"/>
      </w:divBdr>
    </w:div>
    <w:div w:id="1648822598">
      <w:bodyDiv w:val="1"/>
      <w:marLeft w:val="0pt"/>
      <w:marRight w:val="0pt"/>
      <w:marTop w:val="0pt"/>
      <w:marBottom w:val="0pt"/>
      <w:divBdr>
        <w:top w:val="none" w:sz="0" w:space="0" w:color="auto"/>
        <w:left w:val="none" w:sz="0" w:space="0" w:color="auto"/>
        <w:bottom w:val="none" w:sz="0" w:space="0" w:color="auto"/>
        <w:right w:val="none" w:sz="0" w:space="0" w:color="auto"/>
      </w:divBdr>
    </w:div>
    <w:div w:id="1689022034">
      <w:bodyDiv w:val="1"/>
      <w:marLeft w:val="0pt"/>
      <w:marRight w:val="0pt"/>
      <w:marTop w:val="0pt"/>
      <w:marBottom w:val="0pt"/>
      <w:divBdr>
        <w:top w:val="none" w:sz="0" w:space="0" w:color="auto"/>
        <w:left w:val="none" w:sz="0" w:space="0" w:color="auto"/>
        <w:bottom w:val="none" w:sz="0" w:space="0" w:color="auto"/>
        <w:right w:val="none" w:sz="0" w:space="0" w:color="auto"/>
      </w:divBdr>
    </w:div>
    <w:div w:id="1730108125">
      <w:bodyDiv w:val="1"/>
      <w:marLeft w:val="0pt"/>
      <w:marRight w:val="0pt"/>
      <w:marTop w:val="0pt"/>
      <w:marBottom w:val="0pt"/>
      <w:divBdr>
        <w:top w:val="none" w:sz="0" w:space="0" w:color="auto"/>
        <w:left w:val="none" w:sz="0" w:space="0" w:color="auto"/>
        <w:bottom w:val="none" w:sz="0" w:space="0" w:color="auto"/>
        <w:right w:val="none" w:sz="0" w:space="0" w:color="auto"/>
      </w:divBdr>
    </w:div>
    <w:div w:id="1756828518">
      <w:bodyDiv w:val="1"/>
      <w:marLeft w:val="0pt"/>
      <w:marRight w:val="0pt"/>
      <w:marTop w:val="0pt"/>
      <w:marBottom w:val="0pt"/>
      <w:divBdr>
        <w:top w:val="none" w:sz="0" w:space="0" w:color="auto"/>
        <w:left w:val="none" w:sz="0" w:space="0" w:color="auto"/>
        <w:bottom w:val="none" w:sz="0" w:space="0" w:color="auto"/>
        <w:right w:val="none" w:sz="0" w:space="0" w:color="auto"/>
      </w:divBdr>
    </w:div>
    <w:div w:id="1763261323">
      <w:bodyDiv w:val="1"/>
      <w:marLeft w:val="0pt"/>
      <w:marRight w:val="0pt"/>
      <w:marTop w:val="0pt"/>
      <w:marBottom w:val="0pt"/>
      <w:divBdr>
        <w:top w:val="none" w:sz="0" w:space="0" w:color="auto"/>
        <w:left w:val="none" w:sz="0" w:space="0" w:color="auto"/>
        <w:bottom w:val="none" w:sz="0" w:space="0" w:color="auto"/>
        <w:right w:val="none" w:sz="0" w:space="0" w:color="auto"/>
      </w:divBdr>
    </w:div>
    <w:div w:id="1775632577">
      <w:bodyDiv w:val="1"/>
      <w:marLeft w:val="0pt"/>
      <w:marRight w:val="0pt"/>
      <w:marTop w:val="0pt"/>
      <w:marBottom w:val="0pt"/>
      <w:divBdr>
        <w:top w:val="none" w:sz="0" w:space="0" w:color="auto"/>
        <w:left w:val="none" w:sz="0" w:space="0" w:color="auto"/>
        <w:bottom w:val="none" w:sz="0" w:space="0" w:color="auto"/>
        <w:right w:val="none" w:sz="0" w:space="0" w:color="auto"/>
      </w:divBdr>
    </w:div>
    <w:div w:id="1782532204">
      <w:bodyDiv w:val="1"/>
      <w:marLeft w:val="0pt"/>
      <w:marRight w:val="0pt"/>
      <w:marTop w:val="0pt"/>
      <w:marBottom w:val="0pt"/>
      <w:divBdr>
        <w:top w:val="none" w:sz="0" w:space="0" w:color="auto"/>
        <w:left w:val="none" w:sz="0" w:space="0" w:color="auto"/>
        <w:bottom w:val="none" w:sz="0" w:space="0" w:color="auto"/>
        <w:right w:val="none" w:sz="0" w:space="0" w:color="auto"/>
      </w:divBdr>
    </w:div>
    <w:div w:id="1783063897">
      <w:bodyDiv w:val="1"/>
      <w:marLeft w:val="0pt"/>
      <w:marRight w:val="0pt"/>
      <w:marTop w:val="0pt"/>
      <w:marBottom w:val="0pt"/>
      <w:divBdr>
        <w:top w:val="none" w:sz="0" w:space="0" w:color="auto"/>
        <w:left w:val="none" w:sz="0" w:space="0" w:color="auto"/>
        <w:bottom w:val="none" w:sz="0" w:space="0" w:color="auto"/>
        <w:right w:val="none" w:sz="0" w:space="0" w:color="auto"/>
      </w:divBdr>
    </w:div>
    <w:div w:id="1784567739">
      <w:bodyDiv w:val="1"/>
      <w:marLeft w:val="0pt"/>
      <w:marRight w:val="0pt"/>
      <w:marTop w:val="0pt"/>
      <w:marBottom w:val="0pt"/>
      <w:divBdr>
        <w:top w:val="none" w:sz="0" w:space="0" w:color="auto"/>
        <w:left w:val="none" w:sz="0" w:space="0" w:color="auto"/>
        <w:bottom w:val="none" w:sz="0" w:space="0" w:color="auto"/>
        <w:right w:val="none" w:sz="0" w:space="0" w:color="auto"/>
      </w:divBdr>
    </w:div>
    <w:div w:id="1814979845">
      <w:bodyDiv w:val="1"/>
      <w:marLeft w:val="0pt"/>
      <w:marRight w:val="0pt"/>
      <w:marTop w:val="0pt"/>
      <w:marBottom w:val="0pt"/>
      <w:divBdr>
        <w:top w:val="none" w:sz="0" w:space="0" w:color="auto"/>
        <w:left w:val="none" w:sz="0" w:space="0" w:color="auto"/>
        <w:bottom w:val="none" w:sz="0" w:space="0" w:color="auto"/>
        <w:right w:val="none" w:sz="0" w:space="0" w:color="auto"/>
      </w:divBdr>
    </w:div>
    <w:div w:id="1824665180">
      <w:bodyDiv w:val="1"/>
      <w:marLeft w:val="0pt"/>
      <w:marRight w:val="0pt"/>
      <w:marTop w:val="0pt"/>
      <w:marBottom w:val="0pt"/>
      <w:divBdr>
        <w:top w:val="none" w:sz="0" w:space="0" w:color="auto"/>
        <w:left w:val="none" w:sz="0" w:space="0" w:color="auto"/>
        <w:bottom w:val="none" w:sz="0" w:space="0" w:color="auto"/>
        <w:right w:val="none" w:sz="0" w:space="0" w:color="auto"/>
      </w:divBdr>
    </w:div>
    <w:div w:id="1866164709">
      <w:bodyDiv w:val="1"/>
      <w:marLeft w:val="0pt"/>
      <w:marRight w:val="0pt"/>
      <w:marTop w:val="0pt"/>
      <w:marBottom w:val="0pt"/>
      <w:divBdr>
        <w:top w:val="none" w:sz="0" w:space="0" w:color="auto"/>
        <w:left w:val="none" w:sz="0" w:space="0" w:color="auto"/>
        <w:bottom w:val="none" w:sz="0" w:space="0" w:color="auto"/>
        <w:right w:val="none" w:sz="0" w:space="0" w:color="auto"/>
      </w:divBdr>
    </w:div>
    <w:div w:id="1887178509">
      <w:bodyDiv w:val="1"/>
      <w:marLeft w:val="0pt"/>
      <w:marRight w:val="0pt"/>
      <w:marTop w:val="0pt"/>
      <w:marBottom w:val="0pt"/>
      <w:divBdr>
        <w:top w:val="none" w:sz="0" w:space="0" w:color="auto"/>
        <w:left w:val="none" w:sz="0" w:space="0" w:color="auto"/>
        <w:bottom w:val="none" w:sz="0" w:space="0" w:color="auto"/>
        <w:right w:val="none" w:sz="0" w:space="0" w:color="auto"/>
      </w:divBdr>
    </w:div>
    <w:div w:id="1893301716">
      <w:bodyDiv w:val="1"/>
      <w:marLeft w:val="0pt"/>
      <w:marRight w:val="0pt"/>
      <w:marTop w:val="0pt"/>
      <w:marBottom w:val="0pt"/>
      <w:divBdr>
        <w:top w:val="none" w:sz="0" w:space="0" w:color="auto"/>
        <w:left w:val="none" w:sz="0" w:space="0" w:color="auto"/>
        <w:bottom w:val="none" w:sz="0" w:space="0" w:color="auto"/>
        <w:right w:val="none" w:sz="0" w:space="0" w:color="auto"/>
      </w:divBdr>
    </w:div>
    <w:div w:id="1945965533">
      <w:bodyDiv w:val="1"/>
      <w:marLeft w:val="0pt"/>
      <w:marRight w:val="0pt"/>
      <w:marTop w:val="0pt"/>
      <w:marBottom w:val="0pt"/>
      <w:divBdr>
        <w:top w:val="none" w:sz="0" w:space="0" w:color="auto"/>
        <w:left w:val="none" w:sz="0" w:space="0" w:color="auto"/>
        <w:bottom w:val="none" w:sz="0" w:space="0" w:color="auto"/>
        <w:right w:val="none" w:sz="0" w:space="0" w:color="auto"/>
      </w:divBdr>
    </w:div>
    <w:div w:id="1983463463">
      <w:bodyDiv w:val="1"/>
      <w:marLeft w:val="0pt"/>
      <w:marRight w:val="0pt"/>
      <w:marTop w:val="0pt"/>
      <w:marBottom w:val="0pt"/>
      <w:divBdr>
        <w:top w:val="none" w:sz="0" w:space="0" w:color="auto"/>
        <w:left w:val="none" w:sz="0" w:space="0" w:color="auto"/>
        <w:bottom w:val="none" w:sz="0" w:space="0" w:color="auto"/>
        <w:right w:val="none" w:sz="0" w:space="0" w:color="auto"/>
      </w:divBdr>
    </w:div>
    <w:div w:id="1988239681">
      <w:bodyDiv w:val="1"/>
      <w:marLeft w:val="0pt"/>
      <w:marRight w:val="0pt"/>
      <w:marTop w:val="0pt"/>
      <w:marBottom w:val="0pt"/>
      <w:divBdr>
        <w:top w:val="none" w:sz="0" w:space="0" w:color="auto"/>
        <w:left w:val="none" w:sz="0" w:space="0" w:color="auto"/>
        <w:bottom w:val="none" w:sz="0" w:space="0" w:color="auto"/>
        <w:right w:val="none" w:sz="0" w:space="0" w:color="auto"/>
      </w:divBdr>
    </w:div>
    <w:div w:id="2013600362">
      <w:bodyDiv w:val="1"/>
      <w:marLeft w:val="0pt"/>
      <w:marRight w:val="0pt"/>
      <w:marTop w:val="0pt"/>
      <w:marBottom w:val="0pt"/>
      <w:divBdr>
        <w:top w:val="none" w:sz="0" w:space="0" w:color="auto"/>
        <w:left w:val="none" w:sz="0" w:space="0" w:color="auto"/>
        <w:bottom w:val="none" w:sz="0" w:space="0" w:color="auto"/>
        <w:right w:val="none" w:sz="0" w:space="0" w:color="auto"/>
      </w:divBdr>
    </w:div>
    <w:div w:id="2032679400">
      <w:bodyDiv w:val="1"/>
      <w:marLeft w:val="0pt"/>
      <w:marRight w:val="0pt"/>
      <w:marTop w:val="0pt"/>
      <w:marBottom w:val="0pt"/>
      <w:divBdr>
        <w:top w:val="none" w:sz="0" w:space="0" w:color="auto"/>
        <w:left w:val="none" w:sz="0" w:space="0" w:color="auto"/>
        <w:bottom w:val="none" w:sz="0" w:space="0" w:color="auto"/>
        <w:right w:val="none" w:sz="0" w:space="0" w:color="auto"/>
      </w:divBdr>
    </w:div>
    <w:div w:id="2038508312">
      <w:bodyDiv w:val="1"/>
      <w:marLeft w:val="0pt"/>
      <w:marRight w:val="0pt"/>
      <w:marTop w:val="0pt"/>
      <w:marBottom w:val="0pt"/>
      <w:divBdr>
        <w:top w:val="none" w:sz="0" w:space="0" w:color="auto"/>
        <w:left w:val="none" w:sz="0" w:space="0" w:color="auto"/>
        <w:bottom w:val="none" w:sz="0" w:space="0" w:color="auto"/>
        <w:right w:val="none" w:sz="0" w:space="0" w:color="auto"/>
      </w:divBdr>
    </w:div>
    <w:div w:id="2093579885">
      <w:bodyDiv w:val="1"/>
      <w:marLeft w:val="0pt"/>
      <w:marRight w:val="0pt"/>
      <w:marTop w:val="0pt"/>
      <w:marBottom w:val="0pt"/>
      <w:divBdr>
        <w:top w:val="none" w:sz="0" w:space="0" w:color="auto"/>
        <w:left w:val="none" w:sz="0" w:space="0" w:color="auto"/>
        <w:bottom w:val="none" w:sz="0" w:space="0" w:color="auto"/>
        <w:right w:val="none" w:sz="0" w:space="0" w:color="auto"/>
      </w:divBdr>
    </w:div>
    <w:div w:id="2095585019">
      <w:bodyDiv w:val="1"/>
      <w:marLeft w:val="0pt"/>
      <w:marRight w:val="0pt"/>
      <w:marTop w:val="0pt"/>
      <w:marBottom w:val="0pt"/>
      <w:divBdr>
        <w:top w:val="none" w:sz="0" w:space="0" w:color="auto"/>
        <w:left w:val="none" w:sz="0" w:space="0" w:color="auto"/>
        <w:bottom w:val="none" w:sz="0" w:space="0" w:color="auto"/>
        <w:right w:val="none" w:sz="0" w:space="0" w:color="auto"/>
      </w:divBdr>
    </w:div>
    <w:div w:id="2100254594">
      <w:bodyDiv w:val="1"/>
      <w:marLeft w:val="0pt"/>
      <w:marRight w:val="0pt"/>
      <w:marTop w:val="0pt"/>
      <w:marBottom w:val="0pt"/>
      <w:divBdr>
        <w:top w:val="none" w:sz="0" w:space="0" w:color="auto"/>
        <w:left w:val="none" w:sz="0" w:space="0" w:color="auto"/>
        <w:bottom w:val="none" w:sz="0" w:space="0" w:color="auto"/>
        <w:right w:val="none" w:sz="0" w:space="0" w:color="auto"/>
      </w:divBdr>
    </w:div>
    <w:div w:id="2101363986">
      <w:bodyDiv w:val="1"/>
      <w:marLeft w:val="0pt"/>
      <w:marRight w:val="0pt"/>
      <w:marTop w:val="0pt"/>
      <w:marBottom w:val="0pt"/>
      <w:divBdr>
        <w:top w:val="none" w:sz="0" w:space="0" w:color="auto"/>
        <w:left w:val="none" w:sz="0" w:space="0" w:color="auto"/>
        <w:bottom w:val="none" w:sz="0" w:space="0" w:color="auto"/>
        <w:right w:val="none" w:sz="0" w:space="0" w:color="auto"/>
      </w:divBdr>
    </w:div>
    <w:div w:id="2107268307">
      <w:bodyDiv w:val="1"/>
      <w:marLeft w:val="0pt"/>
      <w:marRight w:val="0pt"/>
      <w:marTop w:val="0pt"/>
      <w:marBottom w:val="0pt"/>
      <w:divBdr>
        <w:top w:val="none" w:sz="0" w:space="0" w:color="auto"/>
        <w:left w:val="none" w:sz="0" w:space="0" w:color="auto"/>
        <w:bottom w:val="none" w:sz="0" w:space="0" w:color="auto"/>
        <w:right w:val="none" w:sz="0" w:space="0" w:color="auto"/>
      </w:divBdr>
    </w:div>
    <w:div w:id="2110880897">
      <w:bodyDiv w:val="1"/>
      <w:marLeft w:val="0pt"/>
      <w:marRight w:val="0pt"/>
      <w:marTop w:val="0pt"/>
      <w:marBottom w:val="0pt"/>
      <w:divBdr>
        <w:top w:val="none" w:sz="0" w:space="0" w:color="auto"/>
        <w:left w:val="none" w:sz="0" w:space="0" w:color="auto"/>
        <w:bottom w:val="none" w:sz="0" w:space="0" w:color="auto"/>
        <w:right w:val="none" w:sz="0" w:space="0" w:color="auto"/>
      </w:divBdr>
    </w:div>
    <w:div w:id="2124693696">
      <w:bodyDiv w:val="1"/>
      <w:marLeft w:val="0pt"/>
      <w:marRight w:val="0pt"/>
      <w:marTop w:val="0pt"/>
      <w:marBottom w:val="0pt"/>
      <w:divBdr>
        <w:top w:val="none" w:sz="0" w:space="0" w:color="auto"/>
        <w:left w:val="none" w:sz="0" w:space="0" w:color="auto"/>
        <w:bottom w:val="none" w:sz="0" w:space="0" w:color="auto"/>
        <w:right w:val="none" w:sz="0" w:space="0" w:color="auto"/>
      </w:divBdr>
    </w:div>
    <w:div w:id="213012061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0" Type="http://purl.oclc.org/ooxml/officeDocument/relationships/footer" Target="footer3.xml"/><Relationship Id="rId4" Type="http://purl.oclc.org/ooxml/officeDocument/relationships/settings" Target="settings.xml"/><Relationship Id="rId9" Type="http://purl.oclc.org/ooxml/officeDocument/relationships/footer" Target="footer2.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Sim80</b:Tag>
    <b:SourceType>JournalArticle</b:SourceType>
    <b:Guid>{30B477A0-7468-4720-8966-94F747B78870}</b:Guid>
    <b:Author>
      <b:Author>
        <b:NameList>
          <b:Person>
            <b:Last>Sims</b:Last>
            <b:First>C. A.</b:First>
          </b:Person>
        </b:NameList>
      </b:Author>
    </b:Author>
    <b:Title>Macroeconomics and reality,</b:Title>
    <b:Year>1980</b:Year>
    <b:RefOrder>1</b:RefOrder>
    <b:Volume>48</b:Volume>
    <b:Issue>1</b:Issue>
    <b:Pages>1-48</b:Pages>
  </b:Source>
  <b:Source>
    <b:Tag>Ltk05</b:Tag>
    <b:SourceType>Book</b:SourceType>
    <b:Guid>{582E6A6E-6579-4655-96BE-0D1D2F2D0A80}</b:Guid>
    <b:Author>
      <b:Author>
        <b:NameList>
          <b:Person>
            <b:Last>Lütkepohl</b:Last>
            <b:First>H.</b:First>
          </b:Person>
        </b:NameList>
      </b:Author>
    </b:Author>
    <b:Title>New Introduction to Multiple Time Series Analysis</b:Title>
    <b:Year>2005</b:Year>
    <b:RefOrder>2</b:RefOrder>
    <b:Publisher>Springer</b:Publisher>
  </b:Source>
  <b:Source>
    <b:Tag>Tib96</b:Tag>
    <b:SourceType>JournalArticle</b:SourceType>
    <b:Guid>{F5254D37-7212-42F6-A546-0D031A4CE23E}</b:Guid>
    <b:Author>
      <b:Author>
        <b:NameList>
          <b:Person>
            <b:Last>Tibshirani</b:Last>
            <b:First>R.</b:First>
          </b:Person>
        </b:NameList>
      </b:Author>
    </b:Author>
    <b:Title>Regression shrinkage and selection via the lasso,</b:Title>
    <b:Year>1996</b:Year>
    <b:RefOrder>3</b:RefOrder>
    <b:Volume>58</b:Volume>
    <b:Issue>1</b:Issue>
    <b:Pages>267-288</b:Pages>
  </b:Source>
  <b:Source>
    <b:Tag>Bie17</b:Tag>
    <b:SourceType>JournalArticle</b:SourceType>
    <b:Guid>{D8676E44-E5BE-42DB-9ED1-D41508AF40B1}</b:Guid>
    <b:Author>
      <b:Author>
        <b:NameList>
          <b:Person>
            <b:Last>Nicholson</b:Last>
            <b:First>W. B.</b:First>
          </b:Person>
          <b:Person>
            <b:Last>Matteson</b:Last>
            <b:First>D. S.</b:First>
          </b:Person>
          <b:Person>
            <b:Last>Bien</b:Last>
            <b:First>J.</b:First>
          </b:Person>
        </b:NameList>
      </b:Author>
    </b:Author>
    <b:Title>VARX-L: Structured regularization for large vector autoregressions with exogenous variables,</b:Title>
    <b:Year>2017</b:Year>
    <b:RefOrder>4</b:RefOrder>
    <b:Volume>33</b:Volume>
    <b:Issue>3</b:Issue>
    <b:Pages>627-651</b:Pages>
  </b:Source>
  <b:Source>
    <b:Tag>Kut16</b:Tag>
    <b:SourceType>JournalArticle</b:SourceType>
    <b:Guid>{3359DC00-2475-4ABF-A8D8-8CBBA10A4811}</b:Guid>
    <b:Author>
      <b:Author>
        <b:NameList>
          <b:Person>
            <b:Last>Brunton</b:Last>
            <b:First>S. L.</b:First>
          </b:Person>
          <b:Person>
            <b:Last>Proctor</b:Last>
            <b:First>J. L.</b:First>
          </b:Person>
          <b:Person>
            <b:Last>Kutz</b:Last>
            <b:First>J. N.</b:First>
          </b:Person>
        </b:NameList>
      </b:Author>
    </b:Author>
    <b:Title>Discovering governing equations from data by sparse identification of nonlinear dynamical systems,</b:Title>
    <b:Year>2016</b:Year>
    <b:RefOrder>5</b:RefOrder>
    <b:Volume>113</b:Volume>
    <b:Issue>15</b:Issue>
    <b:Pages>3932-3937</b:Pages>
  </b:Source>
  <b:Source>
    <b:Tag>Kut20</b:Tag>
    <b:SourceType>Book</b:SourceType>
    <b:Guid>{99FDC90A-12FA-4EF0-800F-D3458AFCD58E}</b:Guid>
    <b:Author>
      <b:Author>
        <b:NameList>
          <b:Person>
            <b:Last>Champion</b:Last>
            <b:First>K.</b:First>
          </b:Person>
          <b:Person>
            <b:Last>Zheng</b:Last>
            <b:First>P.</b:First>
          </b:Person>
          <b:Person>
            <b:Last>Aravkin</b:Last>
            <b:First>A. Y.</b:First>
          </b:Person>
          <b:Person>
            <b:Last>Brunton</b:Last>
            <b:First>S. L.</b:First>
          </b:Person>
          <b:Person>
            <b:Last>Kutz</b:Last>
            <b:First>J. N.</b:First>
          </b:Person>
        </b:NameList>
      </b:Author>
    </b:Author>
    <b:Title>A unified sparse optimization framework to learn parsimonious physics-informed models from data,</b:Title>
    <b:Year>2020</b:Year>
    <b:RefOrder>6</b:RefOrder>
    <b:Volume>8</b:Volume>
    <b:Pages>169259-169271</b:Pages>
    <b:Publisher>IEEE</b:Publisher>
  </b:Source>
  <b:Source>
    <b:Tag>Haw71</b:Tag>
    <b:SourceType>JournalArticle</b:SourceType>
    <b:Guid>{F120722E-FDF5-4661-8669-EE8FAD00FD44}</b:Guid>
    <b:Author>
      <b:Author>
        <b:NameList>
          <b:Person>
            <b:Last>Hawkes</b:Last>
            <b:First>A. G.</b:First>
          </b:Person>
        </b:NameList>
      </b:Author>
    </b:Author>
    <b:Title>Spectra of some self-exciting and mutually exciting point processes,</b:Title>
    <b:Year>1971</b:Year>
    <b:RefOrder>7</b:RefOrder>
    <b:Volume>58</b:Volume>
    <b:Issue>1</b:Issue>
    <b:Pages>83-90</b:Pages>
  </b:Source>
  <b:Source>
    <b:Tag>Jan20</b:Tag>
    <b:SourceType>JournalArticle</b:SourceType>
    <b:Guid>{E43EB04B-0982-4B23-9453-01CE2B175385}</b:Guid>
    <b:Author>
      <b:Author>
        <b:NameList>
          <b:Person>
            <b:Last>Salinas</b:Last>
            <b:First>D.</b:First>
          </b:Person>
          <b:Person>
            <b:Last>Flunkert</b:Last>
            <b:First>V.</b:First>
          </b:Person>
          <b:Person>
            <b:Last>Gasthaus</b:Last>
            <b:First>J.</b:First>
          </b:Person>
          <b:Person>
            <b:Last>Januschowski</b:Last>
            <b:First>T.</b:First>
          </b:Person>
        </b:NameList>
      </b:Author>
    </b:Author>
    <b:Title>DeepAR: Probabilistic forecasting with autoregressive recurrent networks,</b:Title>
    <b:Year>2020</b:Year>
    <b:RefOrder>8</b:RefOrder>
    <b:Volume>36</b:Volume>
    <b:Issue>3</b:Issue>
    <b:Pages>1181-1191</b:Pages>
  </b:Source>
  <b:Source>
    <b:Tag>Ass20</b:Tag>
    <b:SourceType>JournalArticle</b:SourceType>
    <b:Guid>{3522BCDA-BF90-4B7A-81BB-D4F7A06E445F}</b:Guid>
    <b:Author>
      <b:Author>
        <b:NameList>
          <b:Person>
            <b:Last>Makridakis</b:Last>
            <b:First>S.</b:First>
          </b:Person>
          <b:Person>
            <b:Last>Spiliotis</b:Last>
            <b:First>E.</b:First>
          </b:Person>
          <b:Person>
            <b:Last>Assimakopoulos</b:Last>
            <b:First>V.</b:First>
          </b:Person>
        </b:NameList>
      </b:Author>
    </b:Author>
    <b:Title>The M4 competition: 100,000 time series and 61 forecasting methods,</b:Title>
    <b:Year>2020</b:Year>
    <b:RefOrder>9</b:RefOrder>
    <b:Volume>36</b:Volume>
    <b:Issue>1</b:Issue>
    <b:Pages>54-74</b:Pages>
  </b:Source>
  <b:Source>
    <b:Tag>Lic13</b:Tag>
    <b:SourceType>JournalArticle</b:SourceType>
    <b:Guid>{D532B0A6-CC05-4BD2-8237-8F2E68254D84}</b:Guid>
    <b:Author>
      <b:Author>
        <b:NameList>
          <b:Person>
            <b:Last>Leys</b:Last>
            <b:First>C.</b:First>
          </b:Person>
          <b:Person>
            <b:Last>Ley</b:Last>
            <b:First>C.</b:First>
          </b:Person>
          <b:Person>
            <b:Last>Klein</b:Last>
            <b:First>O.</b:First>
          </b:Person>
          <b:Person>
            <b:Last>Bernard</b:Last>
            <b:First>P.</b:First>
          </b:Person>
          <b:Person>
            <b:Last>Licata</b:Last>
            <b:First>L.</b:First>
          </b:Person>
        </b:NameList>
      </b:Author>
    </b:Author>
    <b:Title>Detecting outliers: Do not use standard deviation around the mean, use absolute deviation around the median,</b:Title>
    <b:Year>2013</b:Year>
    <b:RefOrder>10</b:RefOrder>
    <b:Volume>49</b:Volume>
    <b:Issue>4</b:Issue>
    <b:Pages>764-766</b:Pages>
  </b:Source>
  <b:Source>
    <b:Tag>Vov08</b:Tag>
    <b:SourceType>JournalArticle</b:SourceType>
    <b:Guid>{48BDDA72-DB5F-4B3F-BE95-C18B139CE3D3}</b:Guid>
    <b:Author>
      <b:Author>
        <b:NameList>
          <b:Person>
            <b:Last>Shafer</b:Last>
            <b:First>G.</b:First>
          </b:Person>
          <b:Person>
            <b:Last>Vovk</b:Last>
            <b:First>V.</b:First>
          </b:Person>
        </b:NameList>
      </b:Author>
    </b:Author>
    <b:Title>A tutorial on conformal prediction,</b:Title>
    <b:Year>2008</b:Year>
    <b:RefOrder>11</b:RefOrder>
    <b:Volume>9</b:Volume>
    <b:Pages>371-421</b:Pages>
  </b:Source>
  <b:Source>
    <b:Tag>Sch21</b:Tag>
    <b:SourceType>JournalArticle</b:SourceType>
    <b:Guid>{B1C21A96-A544-4255-8E4A-93071C375291}</b:Guid>
    <b:Author>
      <b:Author>
        <b:NameList>
          <b:Person>
            <b:Last>Stankeviciute</b:Last>
            <b:First>K.</b:First>
          </b:Person>
          <b:Person>
            <b:Last>Alaa</b:Last>
            <b:First>A. M.</b:First>
          </b:Person>
          <b:Person>
            <b:Last>Schaar</b:Last>
            <b:First>M. van der</b:First>
          </b:Person>
        </b:NameList>
      </b:Author>
    </b:Author>
    <b:Title>Conformal time-series forecasting,</b:Title>
    <b:Year>2021</b:Year>
    <b:RefOrder>12</b:RefOrder>
    <b:Volume>34</b:Volume>
  </b:Source>
  <b:Source>
    <b:Tag>Fra08</b:Tag>
    <b:SourceType>JournalArticle</b:SourceType>
    <b:Guid>{8C93F62E-FACF-4BC4-A5CE-F92B16A77376}</b:Guid>
    <b:Author>
      <b:Author>
        <b:NameList>
          <b:Person>
            <b:Last>Vito</b:Last>
            <b:First>S. De</b:First>
          </b:Person>
          <b:Person>
            <b:Last>Massera</b:Last>
            <b:First>E.</b:First>
          </b:Person>
          <b:Person>
            <b:Last>Piga</b:Last>
            <b:First>M.</b:First>
          </b:Person>
          <b:Person>
            <b:Last>Martinotto</b:Last>
            <b:First>L.</b:First>
          </b:Person>
          <b:Person>
            <b:Last>Francia</b:Last>
            <b:First>G. Di</b:First>
          </b:Person>
        </b:NameList>
      </b:Author>
    </b:Author>
    <b:Title>On field calibration of an electronic nose for benzene estimation in an urban pollution monitoring scenario,</b:Title>
    <b:Year>2008</b:Year>
    <b:RefOrder>13</b:RefOrder>
    <b:Volume>129</b:Volume>
    <b:Issue>2</b:Issue>
    <b:Pages>750-757</b:Pages>
  </b:Source>
  <b:Source>
    <b:Tag>Der17</b:Tag>
    <b:SourceType>JournalArticle</b:SourceType>
    <b:Guid>{9C464A4E-D711-499F-9CC5-FC765AFCAAFF}</b:Guid>
    <b:Author>
      <b:Author>
        <b:NameList>
          <b:Person>
            <b:Last>Candanedo</b:Last>
            <b:First>L. M.</b:First>
          </b:Person>
          <b:Person>
            <b:Last>Feldheim</b:Last>
            <b:First>V.</b:First>
          </b:Person>
          <b:Person>
            <b:Last>Deramaix</b:Last>
            <b:First>D.</b:First>
          </b:Person>
        </b:NameList>
      </b:Author>
    </b:Author>
    <b:Title>Data driven prediction models of energy use of appliances in a low-energy house,</b:Title>
    <b:Year>2017</b:Year>
    <b:RefOrder>14</b:RefOrder>
    <b:Volume>140</b:Volume>
    <b:Pages>81-97</b:Pages>
  </b:Source>
</b:Sources>
</file>

<file path=customXml/itemProps1.xml><?xml version="1.0" encoding="utf-8"?>
<ds:datastoreItem xmlns:ds="http://purl.oclc.org/ooxml/officeDocument/customXml" ds:itemID="{5748CA05-5E93-E541-9291-53318EB4BF1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6</Pages>
  <Words>3740</Words>
  <Characters>21321</Characters>
  <Application>Microsoft Office Word</Application>
  <DocSecurity>0</DocSecurity>
  <Lines>177</Lines>
  <Paragraphs>50</Paragraphs>
  <ScaleCrop>false</ScaleCrop>
  <Company/>
  <LinksUpToDate>false</LinksUpToDate>
  <CharactersWithSpaces>25011</CharactersWithSpaces>
  <SharedDoc>false</SharedDoc>
  <HyperlinksChanged>false</HyperlinksChanged>
  <AppVersion>16.0000</AppVersion>
</Properties>
</file>

<file path=docProps/app0.xml><?xml version="1.0" encoding="utf-8"?>
<Properties xmlns="http://schemas.openxmlformats.org/officeDocument/2006/extended-properties" xmlns:vt="http://schemas.openxmlformats.org/officeDocument/2006/docPropsVTypes">
  <Template>Normal.dotm</Template>
  <TotalTime>0</TotalTime>
  <Pages>11</Pages>
  <Words>6466</Words>
  <Characters>36860</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43240</CharactersWithSpaces>
  <SharedDoc>false</SharedDoc>
  <HyperlinksChanged>false</HyperlinksChanged>
  <AppVersion>16.0000</AppVersion>
</Properties>
</file>

<file path=docProps/app1.xml><?xml version="1.0" encoding="utf-8"?>
<Properties xmlns="http://schemas.openxmlformats.org/officeDocument/2006/extended-properties" xmlns:vt="http://schemas.openxmlformats.org/officeDocument/2006/docPropsVTypes">
  <Template>Normal.dotm</Template>
  <TotalTime>5</TotalTime>
  <Pages>8</Pages>
  <Words>6169</Words>
  <Characters>35168</Characters>
  <Application>Microsoft Office Word</Application>
  <DocSecurity>0</DocSecurity>
  <Lines>293</Lines>
  <Paragraphs>82</Paragraphs>
  <ScaleCrop>false</ScaleCrop>
  <Company/>
  <LinksUpToDate>false</LinksUpToDate>
  <CharactersWithSpaces>41255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Ayoub Bensakhria</cp:lastModifiedBy>
  <cp:revision>5</cp:revision>
  <dcterms:created xsi:type="dcterms:W3CDTF">2023-10-11T19:56:00Z</dcterms:created>
  <dcterms:modified xsi:type="dcterms:W3CDTF">2026-08-29T22:52:00Z</dcterms:modified>
</cp:coreProperties>
</file>