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app0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F2576A7" w14:textId="50C61CE4" w:rsidR="00631C9C" w:rsidRPr="00910E5D" w:rsidRDefault="00C357EB" w:rsidP="00910E5D">
      <w:pPr>
        <w:pStyle w:val="papertitle"/>
        <w:spacing w:before="5pt" w:beforeAutospacing="1" w:after="5pt" w:afterAutospacing="1"/>
        <w:rPr>
          <w:kern w:val="48"/>
          <w:lang w:val="en-GB"/>
        </w:rPr>
      </w:pPr>
      <w:r>
        <w:t>Example Paper Title, A Representative IEEE Template</w:t>
      </w:r>
    </w:p>
    <w:p w14:paraId="2DDE6E6A" w14:textId="77777777" w:rsidR="006A4C77" w:rsidRDefault="00631C9C" w:rsidP="006A4C77">
      <w:pPr>
        <w:pStyle w:val="Author"/>
        <w:spacing w:before="0pt" w:line="13.80pt" w:lineRule="auto"/>
        <w:rPr>
          <w:rStyle w:val="Emphasis"/>
          <w:i w:val="0"/>
          <w:iCs w:val="0"/>
        </w:rPr>
      </w:pPr>
      <w:r>
        <w:t>Author Name</w:t>
      </w:r>
    </w:p>
    <w:p w14:paraId="0B1D8C2C" w14:textId="77777777" w:rsidR="006A4C77" w:rsidRDefault="00910E5D" w:rsidP="006A4C77">
      <w:pPr>
        <w:pStyle w:val="Author"/>
        <w:spacing w:before="0pt" w:line="13.80pt" w:lineRule="auto"/>
        <w:rPr>
          <w:rStyle w:val="Emphasis"/>
        </w:rPr>
      </w:pPr>
      <w:r>
        <w:t>Example Ltd</w:t>
      </w:r>
    </w:p>
    <w:p w14:paraId="5B45E6D1" w14:textId="4DFBEE03" w:rsidR="00631C9C" w:rsidRPr="006A4C77" w:rsidRDefault="006A4C77" w:rsidP="006A4C77">
      <w:pPr>
        <w:pStyle w:val="Author"/>
        <w:spacing w:before="0pt" w:line="13.80pt" w:lineRule="auto"/>
        <w:rPr>
          <w:rStyle w:val="Emphasis"/>
        </w:rPr>
      </w:pPr>
      <w:r>
        <w:t>Springfield, SP1 2AB, United Kingdom</w:t>
      </w:r>
    </w:p>
    <w:p w14:paraId="23B4CD66" w14:textId="77777777" w:rsidR="00631C9C" w:rsidRPr="00B61ED0" w:rsidRDefault="00631C9C" w:rsidP="00631C9C">
      <w:pPr>
        <w:pStyle w:val="Author"/>
        <w:spacing w:before="5pt" w:beforeAutospacing="1" w:after="5pt" w:afterAutospacing="1" w:line="6pt" w:lineRule="auto"/>
        <w:rPr>
          <w:sz w:val="16"/>
          <w:szCs w:val="16"/>
          <w:lang w:val="en-GB"/>
        </w:rPr>
        <w:sectPr w:rsidR="00631C9C" w:rsidRPr="00B61ED0" w:rsidSect="003B4E04">
          <w:footerReference w:type="even" r:id="rId8"/>
          <w:footerReference w:type="default" r:id="rId9"/>
          <w:footerReference w:type="first" r:id="rId10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t>author@example.com</w:t>
      </w:r>
    </w:p>
    <w:p>
      <w:pPr>
        <w:pStyle w:val="Abstract"/>
      </w:pPr>
      <w:r>
        <w:rPr>
          <w:b w:val="0"/>
          <w:i w:val="0"/>
        </w:rPr>
        <w:t>Abstract</w:t>
      </w:r>
      <w:r>
        <w:t xml:space="preserve">: </w:t>
      </w:r>
      <w:r>
        <w:rPr>
          <w:b w:val="0"/>
          <w:i w:val="0"/>
        </w:rPr>
        <w:t>This paper presents a generic placeholder abstract used to demonstrate the full range of content types supported by the template. It summarizes a fictitious contribution, a fictitious method, and fictitious quantitative results such as an improvement from 0.70 to 0.85 on a synthetic benchmark. The abstract exists only to exercise the Abstract style and lead-in formatting.</w:t>
      </w:r>
    </w:p>
    <w:p>
      <w:pPr>
        <w:pStyle w:val="Keywords"/>
      </w:pPr>
      <w:r>
        <w:rPr>
          <w:b w:val="0"/>
          <w:i w:val="0"/>
        </w:rPr>
        <w:t>Keywords: placeholder text, representative example, template structure, generic content, document formatting.</w:t>
      </w:r>
    </w:p>
    <w:p>
      <w:pPr>
        <w:pStyle w:val="Heading1"/>
      </w:pPr>
      <w:r>
        <w:t>Introduction</w:t>
      </w:r>
    </w:p>
    <w:p>
      <w:pPr>
        <w:pStyle w:val="Heading2"/>
      </w:pPr>
      <w:r>
        <w:t>The problem: coupling structure that can be read, edited, and bounded</w:t>
      </w:r>
    </w:p>
    <w:p>
      <w:pPr>
        <w:pStyle w:val="BodyText"/>
      </w:pPr>
      <w:r>
        <w:rPr>
          <w:b w:val="0"/>
          <w:i w:val="0"/>
        </w:rPr>
        <w:t xml:space="preserve">This subsection contains generic filler text standing in for a real problem statement. It references a prior method </w:t>
      </w:r>
      <w:sdt>
        <w:sdtPr>
          <w:citation/>
        </w:sdtPr>
        <w:sdtContent>
          <w:r>
            <w:fldChar w:fldCharType="begin"/>
          </w:r>
          <w:r>
            <w:instrText xml:space="preserve"> CITATION Sim80 \l 1033 </w:instrText>
          </w:r>
          <w:r>
            <w:fldChar w:fldCharType="separate"/>
          </w:r>
          <w:r>
            <w:rPr>
              <w:noProof/>
            </w:rPr>
            <w:t xml:space="preserve">[1]</w:t>
          </w:r>
          <w:r>
            <w:fldChar w:fldCharType="end"/>
          </w:r>
        </w:sdtContent>
      </w:sdt>
      <w:r>
        <w:rPr>
          <w:b w:val="0"/>
          <w:i w:val="0"/>
        </w:rPr>
        <w:t xml:space="preserve"> and a second prior method </w:t>
      </w:r>
      <w:sdt>
        <w:sdtPr>
          <w:citation/>
        </w:sdtPr>
        <w:sdtContent>
          <w:r>
            <w:fldChar w:fldCharType="begin"/>
          </w:r>
          <w:r>
            <w:instrText xml:space="preserve"> CITATION Ltk05 \l 1033 </w:instrText>
          </w:r>
          <w:r>
            <w:fldChar w:fldCharType="separate"/>
          </w:r>
          <w:r>
            <w:rPr>
              <w:noProof/>
            </w:rPr>
            <w:t xml:space="preserve">[2]</w:t>
          </w:r>
          <w:r>
            <w:fldChar w:fldCharType="end"/>
          </w:r>
        </w:sdtContent>
      </w:sdt>
      <w:r>
        <w:rPr>
          <w:b w:val="0"/>
          <w:i w:val="0"/>
        </w:rPr>
        <w:t xml:space="preserve"> to demonstrate inline citation fields within a normal paragraph. The sentence continues with </w:t>
      </w:r>
      <w:r>
        <w:rPr>
          <w:b/>
        </w:rPr>
        <w:t>bold emphasis</w:t>
      </w:r>
      <w:r>
        <w:rPr>
          <w:b w:val="0"/>
          <w:i w:val="0"/>
        </w:rPr>
        <w:t xml:space="preserve">, </w:t>
      </w:r>
      <w:r>
        <w:rPr>
          <w:i/>
        </w:rPr>
        <w:t>italic emphasis</w:t>
      </w:r>
      <w:r>
        <w:rPr>
          <w:b w:val="0"/>
          <w:i w:val="0"/>
        </w:rPr>
        <w:t xml:space="preserve">, and an inline code token </w:t>
      </w:r>
      <w:r>
        <w:rPr>
          <w:rFonts w:ascii="Consolas" w:hAnsi="Consolas"/>
        </w:rPr>
        <w:t>example_variable</w:t>
      </w:r>
      <w:r>
        <w:rPr>
          <w:b w:val="0"/>
          <w:i w:val="0"/>
        </w:rPr>
        <w:t xml:space="preserve"> to exercise mixed run formatting.</w:t>
      </w:r>
    </w:p>
    <w:p>
      <w:pPr>
        <w:pStyle w:val="BodyText"/>
      </w:pPr>
      <w:r>
        <w:rPr>
          <w:b w:val="0"/>
          <w:i w:val="0"/>
        </w:rPr>
        <w:t>First, placeholder requirement one is stated here in a short sentence.</w:t>
      </w:r>
    </w:p>
    <w:p>
      <w:pPr>
        <w:pStyle w:val="BodyText"/>
      </w:pPr>
      <w:r>
        <w:rPr>
          <w:b w:val="0"/>
          <w:i w:val="0"/>
        </w:rPr>
        <w:t xml:space="preserve">Second, placeholder requirement two is stated here, referencing an inline symbol </w:t>
      </w:r>
      <m:oMath>
        <m:sSub>
          <m:sSubPr/>
          <m:e>
            <m:r>
              <m:rPr>
                <w:rPr>
                  <w:sz w:val="16"/>
                  <w:szCs w:val="16"/>
                </w:rPr>
              </m:rPr>
              <m:t>x</m:t>
            </m:r>
          </m:e>
          <m:sub>
            <m:r>
              <m:rPr>
                <w:rPr>
                  <w:sz w:val="16"/>
                  <w:szCs w:val="16"/>
                </w:rPr>
              </m:rPr>
              <m:t>i</m:t>
            </m:r>
          </m:sub>
        </m:sSub>
      </m:oMath>
      <w:r>
        <w:rPr>
          <w:b w:val="0"/>
          <w:i w:val="0"/>
        </w:rPr>
        <w:t xml:space="preserve"> to confirm that inline math renders correctly inside ordinary body text.</w:t>
      </w:r>
    </w:p>
    <w:p>
      <w:pPr>
        <w:pStyle w:val="BodyText"/>
      </w:pPr>
      <w:r>
        <w:rPr>
          <w:b w:val="0"/>
          <w:i w:val="0"/>
        </w:rPr>
        <w:t>Third, placeholder requirement three closes the motivating list with a short generic sentence.</w:t>
      </w:r>
    </w:p>
    <w:p>
      <w:pPr>
        <w:pStyle w:val="BodyText"/>
      </w:pPr>
      <w:r>
        <w:rPr>
          <w:b w:val="0"/>
          <w:i w:val="0"/>
        </w:rPr>
        <w:t xml:space="preserve">Restricted methods can impose constraints </w:t>
      </w:r>
      <w:sdt>
        <w:sdtPr>
          <w:citation/>
        </w:sdtPr>
        <w:sdtContent>
          <w:r>
            <w:fldChar w:fldCharType="begin"/>
          </w:r>
          <w:r>
            <w:instrText xml:space="preserve"> CITATION Tib96 \l 1033 </w:instrText>
          </w:r>
          <w:r>
            <w:fldChar w:fldCharType="separate"/>
          </w:r>
          <w:r>
            <w:rPr>
              <w:noProof/>
            </w:rPr>
            <w:t xml:space="preserve">[3]</w:t>
          </w:r>
          <w:r>
            <w:fldChar w:fldCharType="end"/>
          </w:r>
        </w:sdtContent>
      </w:sdt>
      <w:r>
        <w:rPr>
          <w:b w:val="0"/>
          <w:i w:val="0"/>
        </w:rPr>
        <w:t xml:space="preserve">, sparse estimators reduce dense parameter sets </w:t>
      </w:r>
      <w:sdt>
        <w:sdtPr>
          <w:citation/>
        </w:sdtPr>
        <w:sdtContent>
          <w:r>
            <w:fldChar w:fldCharType="begin"/>
          </w:r>
          <w:r>
            <w:instrText xml:space="preserve"> CITATION Bie17 \l 1033 </w:instrText>
          </w:r>
          <w:r>
            <w:fldChar w:fldCharType="separate"/>
          </w:r>
          <w:r>
            <w:rPr>
              <w:noProof/>
            </w:rPr>
            <w:t xml:space="preserve">[4]</w:t>
          </w:r>
          <w:r>
            <w:fldChar w:fldCharType="end"/>
          </w:r>
        </w:sdtContent>
      </w:sdt>
      <w:r>
        <w:rPr>
          <w:b w:val="0"/>
          <w:i w:val="0"/>
        </w:rPr>
        <w:t xml:space="preserve">, and related identification techniques select compact terms </w:t>
      </w:r>
      <w:sdt>
        <w:sdtPr>
          <w:citation/>
        </w:sdtPr>
        <w:sdtContent>
          <w:r>
            <w:fldChar w:fldCharType="begin"/>
          </w:r>
          <w:r>
            <w:instrText xml:space="preserve"> CITATION Kut16 \l 1033 </w:instrText>
          </w:r>
          <w:r>
            <w:fldChar w:fldCharType="separate"/>
          </w:r>
          <w:r>
            <w:rPr>
              <w:noProof/>
            </w:rPr>
            <w:t xml:space="preserve">[5]</w:t>
          </w:r>
          <w:r>
            <w:fldChar w:fldCharType="end"/>
          </w:r>
        </w:sdtContent>
      </w:sdt>
      <w:r>
        <w:rPr>
          <w:b w:val="0"/>
          <w:i w:val="0"/>
        </w:rPr>
        <w:t xml:space="preserve">, </w:t>
      </w:r>
      <w:sdt>
        <w:sdtPr>
          <w:citation/>
        </w:sdtPr>
        <w:sdtContent>
          <w:r>
            <w:fldChar w:fldCharType="begin"/>
          </w:r>
          <w:r>
            <w:instrText xml:space="preserve"> CITATION Kut20 \l 1033 </w:instrText>
          </w:r>
          <w:r>
            <w:fldChar w:fldCharType="separate"/>
          </w:r>
          <w:r>
            <w:rPr>
              <w:noProof/>
            </w:rPr>
            <w:t xml:space="preserve">[6]</w:t>
          </w:r>
          <w:r>
            <w:fldChar w:fldCharType="end"/>
          </w:r>
        </w:sdtContent>
      </w:sdt>
      <w:r>
        <w:rPr>
          <w:b w:val="0"/>
          <w:i w:val="0"/>
        </w:rPr>
        <w:t>. This template combines these ideas only as placeholder narrative.</w:t>
      </w:r>
    </w:p>
    <w:p>
      <w:pPr>
        <w:pStyle w:val="Heading2"/>
      </w:pPr>
      <w:r>
        <w:t>What the example model is</w:t>
      </w:r>
    </w:p>
    <w:p>
      <w:pPr>
        <w:pStyle w:val="BodyText"/>
      </w:pPr>
      <w:r>
        <w:rPr>
          <w:b w:val="0"/>
          <w:i w:val="0"/>
        </w:rPr>
        <w:t>The example model evolves one placeholder quantity per variable in discrete time. Relationships are stored as named entries containing a generic descriptor, a generic weight, and a generic constraint flag.</w:t>
      </w:r>
    </w:p>
    <w:p>
      <w:pPr>
        <w:pStyle w:val="Heading2"/>
      </w:pPr>
      <w:r>
        <w:t>Contributions</w:t>
      </w:r>
    </w:p>
    <w:p>
      <w:pPr>
        <w:pStyle w:val="bulletlist"/>
      </w:pPr>
      <w:r>
        <w:rPr>
          <w:b/>
        </w:rPr>
        <w:t>A named placeholder store</w:t>
      </w:r>
      <w:r>
        <w:rPr>
          <w:b w:val="0"/>
          <w:i w:val="0"/>
        </w:rPr>
        <w:t xml:space="preserve"> in which fictitious relationships carry sources, targets, and constraint states.</w:t>
      </w:r>
    </w:p>
    <w:p>
      <w:pPr>
        <w:pStyle w:val="bulletlist"/>
      </w:pPr>
      <w:r>
        <w:rPr>
          <w:b/>
        </w:rPr>
        <w:t>Exact placeholder constraints</w:t>
      </w:r>
      <w:r>
        <w:rPr>
          <w:b w:val="0"/>
          <w:i w:val="0"/>
        </w:rPr>
        <w:t xml:space="preserve"> supporting fixed values, signs, and forbidden edges.</w:t>
      </w:r>
    </w:p>
    <w:p>
      <w:pPr>
        <w:pStyle w:val="bulletlist"/>
      </w:pPr>
      <w:r>
        <w:rPr>
          <w:b/>
        </w:rPr>
        <w:t>Joint placeholder estimation</w:t>
      </w:r>
      <w:r>
        <w:rPr>
          <w:b w:val="0"/>
          <w:i w:val="0"/>
        </w:rPr>
        <w:t xml:space="preserve"> of unconstrained entries.</w:t>
      </w:r>
    </w:p>
    <w:p>
      <w:pPr>
        <w:pStyle w:val="bulletlist"/>
      </w:pPr>
      <w:r>
        <w:rPr>
          <w:b/>
        </w:rPr>
        <w:t>A placeholder evaluation protocol</w:t>
      </w:r>
      <w:r>
        <w:rPr>
          <w:b w:val="0"/>
          <w:i w:val="0"/>
        </w:rPr>
        <w:t xml:space="preserve"> covering fictitious benchmarks and reproducible artifacts.</w:t>
      </w:r>
    </w:p>
    <w:p>
      <w:pPr>
        <w:pStyle w:val="Heading1"/>
      </w:pPr>
      <w:r>
        <w:t>Background</w:t>
      </w:r>
    </w:p>
    <w:p>
      <w:pPr>
        <w:pStyle w:val="BodyText"/>
      </w:pPr>
      <w:r>
        <w:rPr>
          <w:b w:val="0"/>
          <w:i w:val="0"/>
        </w:rPr>
        <w:t>Generic background paragraph placed here to preserve section length and demonstrate a plain body paragraph with no citations or emphasis.</w:t>
      </w:r>
    </w:p>
    <w:p>
      <w:pPr>
        <w:pStyle w:val="Heading2"/>
      </w:pPr>
      <w:r>
        <w:t>Linear multivariate forecasting</w:t>
      </w:r>
    </w:p>
    <w:p>
      <w:pPr>
        <w:pStyle w:val="BodyText"/>
      </w:pPr>
      <w:r>
        <w:rPr>
          <w:b w:val="0"/>
          <w:i w:val="0"/>
        </w:rPr>
        <w:t xml:space="preserve">Placeholder discussion of a linear multivariate baseline </w:t>
      </w:r>
      <w:sdt>
        <w:sdtPr>
          <w:citation/>
        </w:sdtPr>
        <w:sdtContent>
          <w:r>
            <w:fldChar w:fldCharType="begin"/>
          </w:r>
          <w:r>
            <w:instrText xml:space="preserve"> CITATION Sim80 \l 1033 </w:instrText>
          </w:r>
          <w:r>
            <w:fldChar w:fldCharType="separate"/>
          </w:r>
          <w:r>
            <w:rPr>
              <w:noProof/>
            </w:rPr>
            <w:t xml:space="preserve">[1]</w:t>
          </w:r>
          <w:r>
            <w:fldChar w:fldCharType="end"/>
          </w:r>
        </w:sdtContent>
      </w:sdt>
      <w:r>
        <w:rPr>
          <w:b w:val="0"/>
          <w:i w:val="0"/>
        </w:rPr>
        <w:t xml:space="preserve">, </w:t>
      </w:r>
      <w:sdt>
        <w:sdtPr>
          <w:citation/>
        </w:sdtPr>
        <w:sdtContent>
          <w:r>
            <w:fldChar w:fldCharType="begin"/>
          </w:r>
          <w:r>
            <w:instrText xml:space="preserve"> CITATION Ltk05 \l 1033 </w:instrText>
          </w:r>
          <w:r>
            <w:fldChar w:fldCharType="separate"/>
          </w:r>
          <w:r>
            <w:rPr>
              <w:noProof/>
            </w:rPr>
            <w:t xml:space="preserve">[2]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Sparsity and system identification</w:t>
      </w:r>
    </w:p>
    <w:p>
      <w:pPr>
        <w:pStyle w:val="BodyText"/>
      </w:pPr>
      <w:r>
        <w:rPr>
          <w:b w:val="0"/>
          <w:i w:val="0"/>
        </w:rPr>
        <w:t xml:space="preserve">Placeholder discussion of sparse identification techniques </w:t>
      </w:r>
      <w:sdt>
        <w:sdtPr>
          <w:citation/>
        </w:sdtPr>
        <w:sdtContent>
          <w:r>
            <w:fldChar w:fldCharType="begin"/>
          </w:r>
          <w:r>
            <w:instrText xml:space="preserve"> CITATION Bie17 \l 1033 </w:instrText>
          </w:r>
          <w:r>
            <w:fldChar w:fldCharType="separate"/>
          </w:r>
          <w:r>
            <w:rPr>
              <w:noProof/>
            </w:rPr>
            <w:t xml:space="preserve">[4]</w:t>
          </w:r>
          <w:r>
            <w:fldChar w:fldCharType="end"/>
          </w:r>
        </w:sdtContent>
      </w:sdt>
      <w:r>
        <w:rPr>
          <w:b w:val="0"/>
          <w:i w:val="0"/>
        </w:rPr>
        <w:t xml:space="preserve">, </w:t>
      </w:r>
      <w:sdt>
        <w:sdtPr>
          <w:citation/>
        </w:sdtPr>
        <w:sdtContent>
          <w:r>
            <w:fldChar w:fldCharType="begin"/>
          </w:r>
          <w:r>
            <w:instrText xml:space="preserve"> CITATION Kut16 \l 1033 </w:instrText>
          </w:r>
          <w:r>
            <w:fldChar w:fldCharType="separate"/>
          </w:r>
          <w:r>
            <w:rPr>
              <w:noProof/>
            </w:rPr>
            <w:t xml:space="preserve">[5]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Event dynamics</w:t>
      </w:r>
    </w:p>
    <w:p>
      <w:pPr>
        <w:pStyle w:val="BodyText"/>
      </w:pPr>
      <w:r>
        <w:rPr>
          <w:b w:val="0"/>
          <w:i w:val="0"/>
        </w:rPr>
        <w:t xml:space="preserve">Placeholder discussion of self-exciting event processes </w:t>
      </w:r>
      <w:sdt>
        <w:sdtPr>
          <w:citation/>
        </w:sdtPr>
        <w:sdtContent>
          <w:r>
            <w:fldChar w:fldCharType="begin"/>
          </w:r>
          <w:r>
            <w:instrText xml:space="preserve"> CITATION Haw71 \l 1033 </w:instrText>
          </w:r>
          <w:r>
            <w:fldChar w:fldCharType="separate"/>
          </w:r>
          <w:r>
            <w:rPr>
              <w:noProof/>
            </w:rPr>
            <w:t xml:space="preserve">[7]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Deep probabilistic forecasting, and why this model does not compete with it</w:t>
      </w:r>
    </w:p>
    <w:p>
      <w:pPr>
        <w:pStyle w:val="BodyText"/>
      </w:pPr>
      <w:r>
        <w:rPr>
          <w:b w:val="0"/>
          <w:i w:val="0"/>
        </w:rPr>
        <w:t xml:space="preserve">Placeholder discussion contrasting deep sequence models </w:t>
      </w:r>
      <w:sdt>
        <w:sdtPr>
          <w:citation/>
        </w:sdtPr>
        <w:sdtContent>
          <w:r>
            <w:fldChar w:fldCharType="begin"/>
          </w:r>
          <w:r>
            <w:instrText xml:space="preserve"> CITATION Jan20 \l 1033 </w:instrText>
          </w:r>
          <w:r>
            <w:fldChar w:fldCharType="separate"/>
          </w:r>
          <w:r>
            <w:rPr>
              <w:noProof/>
            </w:rPr>
            <w:t xml:space="preserve">[8]</w:t>
          </w:r>
          <w:r>
            <w:fldChar w:fldCharType="end"/>
          </w:r>
        </w:sdtContent>
      </w:sdt>
      <w:r>
        <w:rPr>
          <w:b w:val="0"/>
          <w:i w:val="0"/>
        </w:rPr>
        <w:t xml:space="preserve"> with the interpretable placeholder store used here.</w:t>
      </w:r>
    </w:p>
    <w:p>
      <w:pPr>
        <w:pStyle w:val="Heading2"/>
      </w:pPr>
      <w:r>
        <w:t>Robust preprocessing and resampled uncertainty</w:t>
      </w:r>
    </w:p>
    <w:p>
      <w:pPr>
        <w:pStyle w:val="BodyText"/>
      </w:pPr>
      <w:r>
        <w:rPr>
          <w:b w:val="0"/>
          <w:i w:val="0"/>
        </w:rPr>
        <w:t xml:space="preserve">Placeholder discussion of robust scaling </w:t>
      </w:r>
      <w:sdt>
        <w:sdtPr>
          <w:citation/>
        </w:sdtPr>
        <w:sdtContent>
          <w:r>
            <w:fldChar w:fldCharType="begin"/>
          </w:r>
          <w:r>
            <w:instrText xml:space="preserve"> CITATION Lic13 \l 1033 </w:instrText>
          </w:r>
          <w:r>
            <w:fldChar w:fldCharType="separate"/>
          </w:r>
          <w:r>
            <w:rPr>
              <w:noProof/>
            </w:rPr>
            <w:t xml:space="preserve">[10]</w:t>
          </w:r>
          <w:r>
            <w:fldChar w:fldCharType="end"/>
          </w:r>
        </w:sdtContent>
      </w:sdt>
      <w:r>
        <w:rPr>
          <w:b w:val="0"/>
          <w:i w:val="0"/>
        </w:rPr>
        <w:t xml:space="preserve"> and conformal calibration </w:t>
      </w:r>
      <w:sdt>
        <w:sdtPr>
          <w:citation/>
        </w:sdtPr>
        <w:sdtContent>
          <w:r>
            <w:fldChar w:fldCharType="begin"/>
          </w:r>
          <w:r>
            <w:instrText xml:space="preserve"> CITATION Vov08 \l 1033 </w:instrText>
          </w:r>
          <w:r>
            <w:fldChar w:fldCharType="separate"/>
          </w:r>
          <w:r>
            <w:rPr>
              <w:noProof/>
            </w:rPr>
            <w:t xml:space="preserve">[11]</w:t>
          </w:r>
          <w:r>
            <w:fldChar w:fldCharType="end"/>
          </w:r>
        </w:sdtContent>
      </w:sdt>
      <w:r>
        <w:rPr>
          <w:b w:val="0"/>
          <w:i w:val="0"/>
        </w:rPr>
        <w:t xml:space="preserve">, </w:t>
      </w:r>
      <w:sdt>
        <w:sdtPr>
          <w:citation/>
        </w:sdtPr>
        <w:sdtContent>
          <w:r>
            <w:fldChar w:fldCharType="begin"/>
          </w:r>
          <w:r>
            <w:instrText xml:space="preserve"> CITATION Sch21 \l 1033 </w:instrText>
          </w:r>
          <w:r>
            <w:fldChar w:fldCharType="separate"/>
          </w:r>
          <w:r>
            <w:rPr>
              <w:noProof/>
            </w:rPr>
            <w:t xml:space="preserve">[12]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The gap</w:t>
      </w:r>
    </w:p>
    <w:p>
      <w:pPr>
        <w:pStyle w:val="BodyText"/>
      </w:pPr>
      <w:r>
        <w:rPr>
          <w:b w:val="0"/>
          <w:i w:val="0"/>
        </w:rPr>
        <w:t>Placeholder closing paragraph identifying a fictitious gap addressed by the example model.</w:t>
      </w:r>
    </w:p>
    <w:p>
      <w:pPr>
        <w:pStyle w:val="Heading1"/>
      </w:pPr>
      <w:r>
        <w:t>Methodology</w:t>
      </w:r>
    </w:p>
    <w:p>
      <w:pPr>
        <w:pStyle w:val="Heading2"/>
      </w:pPr>
      <w:r>
        <w:t>Overview</w:t>
      </w:r>
    </w:p>
    <w:p>
      <w:pPr>
        <w:pStyle w:val="BodyText"/>
      </w:pPr>
      <w:r>
        <w:rPr>
          <w:b w:val="0"/>
          <w:i w:val="0"/>
        </w:rPr>
        <w:t>The example pipeline below is a generic stand-in for a real methodology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422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Events and the phase function</w:t>
      </w:r>
    </w:p>
    <w:p>
      <w:pPr>
        <w:pStyle w:val="Caption"/>
      </w:pPr>
      <w:r>
        <w:rPr>
          <w:b w:val="0"/>
          <w:i w:val="0"/>
        </w:rPr>
        <w:t>Table 1. Placeholder event parameters.</w:t>
      </w:r>
    </w:p>
    <w:tbl>
      <w:tblPr>
        <w:tblStyle w:val="PlainTable2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>
              <w:rPr>
                <w:b/>
                <w:sz w:val="16"/>
                <w:szCs w:val="16"/>
              </w:rPr>
            </w:r>
            <w:r>
              <w:rPr>
                <w:b/>
                <w:i w:val="0"/>
                <w:sz w:val="16"/>
                <w:szCs w:val="16"/>
              </w:rPr>
              <w:t>Symbol</w:t>
            </w:r>
          </w:p>
        </w:tc>
        <w:tc>
          <w:tcPr>
            <w:tcW w:type="dxa" w:w="5046"/>
          </w:tcPr>
          <w:p>
            <w:r>
              <w:rPr>
                <w:b/>
                <w:sz w:val="16"/>
                <w:szCs w:val="16"/>
              </w:rPr>
            </w:r>
            <w:r>
              <w:rPr>
                <w:b/>
                <w:i w:val="0"/>
                <w:sz w:val="16"/>
                <w:szCs w:val="16"/>
              </w:rPr>
              <w:t>Meaning</w:t>
            </w:r>
          </w:p>
        </w:tc>
      </w:tr>
      <w:tr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m:oMath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0</m:t>
                  </m:r>
                </m:sub>
              </m:sSub>
            </m:oMath>
          </w:p>
        </w:tc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start time</w:t>
            </w:r>
          </w:p>
        </w:tc>
      </w:tr>
      <w:tr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m:oMath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f</m:t>
                  </m:r>
                </m:sub>
              </m:sSub>
            </m:oMath>
          </w:p>
        </w:tc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formation duration</w:t>
            </w:r>
          </w:p>
        </w:tc>
      </w:tr>
      <w:tr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m:oMath>
              <m:r>
                <m:rPr>
                  <w:rPr>
                    <w:sz w:val="16"/>
                    <w:szCs w:val="16"/>
                  </w:rPr>
                </m:rPr>
                <m:t>τ</m:t>
              </m:r>
            </m:oMath>
          </w:p>
        </w:tc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decay constant</w:t>
            </w:r>
          </w:p>
        </w:tc>
      </w:tr>
      <w:tr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m:oMath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B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</m:sub>
              </m:sSub>
            </m:oMath>
          </w:p>
        </w:tc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constant offset</w:t>
            </w:r>
          </w:p>
        </w:tc>
      </w:tr>
      <w:tr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m:oMath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M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(</m:t>
              </m:r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0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)</m:t>
              </m:r>
            </m:oMath>
          </w:p>
        </w:tc>
        <w:tc>
          <w:tcPr>
            <w:tcW w:type="dxa" w:w="5046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initial magnitude</w:t>
            </w:r>
          </w:p>
        </w:tc>
      </w:tr>
    </w:tbl>
    <w:p>
      <w:pPr>
        <w:pStyle w:val="BodyText"/>
      </w:pPr>
      <w:r>
        <w:rPr>
          <w:b w:val="0"/>
          <w:i w:val="0"/>
        </w:rPr>
        <w:t>The placeholder phase function is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Φ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=</m:t>
          </m:r>
          <m:d>
            <m:dPr>
              <m:begChr m:val="{"/>
              <m:endChr m:val=""/>
            </m:dPr>
            <m:e>
              <m:eqArr>
                <m:eqArr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0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    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&lt;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</m:e>
                <m:e>
                  <m:r>
                    <m:rPr>
                      <w:rPr>
                        <w:sz w:val="16"/>
                        <w:szCs w:val="16"/>
                      </w:rPr>
                    </m:rPr>
                    <m:t>(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-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)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/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    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≤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&lt;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 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&gt;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0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</m:e>
                <m:e>
                  <m:r>
                    <m:rPr>
                      <w:rPr>
                        <w:sz w:val="16"/>
                        <w:szCs w:val="16"/>
                      </w:rPr>
                    </m:rPr>
                    <m:t>1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    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≤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&lt;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τ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</m:e>
                <m:e>
                  <m:sSup>
                    <m:sSup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e</m:t>
                      </m:r>
                    </m:e>
                    <m:sup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-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(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-</m:t>
                      </m:r>
                      <m:sSub>
                        <m:sSubPr/>
                        <m:e>
                          <m:r>
                            <m:rPr>
                              <w:rPr>
                                <w:sz w:val="16"/>
                                <w:szCs w:val="16"/>
                              </w:rPr>
                            </m:rPr>
                            <m:t>t</m:t>
                          </m:r>
                        </m:e>
                        <m:sub>
                          <m:r>
                            <m:rPr>
                              <w:rPr>
                                <w:sz w:val="16"/>
                                <w:szCs w:val="16"/>
                              </w:rPr>
                            </m:rPr>
                            <m:t>0</m:t>
                          </m:r>
                        </m:sub>
                      </m:s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-</m:t>
                      </m:r>
                      <m:sSub>
                        <m:sSubPr/>
                        <m:e>
                          <m:r>
                            <m:rPr>
                              <w:rPr>
                                <w:sz w:val="16"/>
                                <w:szCs w:val="16"/>
                              </w:rPr>
                            </m:rPr>
                            <m:t>t</m:t>
                          </m:r>
                        </m:e>
                        <m:sub>
                          <m:r>
                            <m:rPr>
                              <w:rPr>
                                <w:sz w:val="16"/>
                                <w:szCs w:val="16"/>
                              </w:rPr>
                            </m:rPr>
                            <m:t>f</m:t>
                          </m:r>
                        </m:sub>
                      </m:s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-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τ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)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/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τ</m:t>
                      </m:r>
                    </m:sup>
                  </m:sSup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    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≥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0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f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τ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</m:e>
              </m:eqArr>
            </m:e>
          </m:d>
        </m:oMath>
      </m:oMathPara>
    </w:p>
    <w:p>
      <w:pPr>
        <w:pStyle w:val="BodyText"/>
      </w:pPr>
      <w:r>
        <w:rPr>
          <w:b w:val="0"/>
          <w:i w:val="0"/>
        </w:rPr>
        <w:t xml:space="preserve">with </w:t>
      </w:r>
      <m:oMath>
        <m:sSub>
          <m:sSubPr/>
          <m:e>
            <m:r>
              <m:rPr>
                <w:rPr>
                  <w:sz w:val="16"/>
                  <w:szCs w:val="16"/>
                </w:rPr>
              </m:rPr>
              <m:t>t</m:t>
            </m:r>
          </m:e>
          <m:sub>
            <m:r>
              <m:rPr>
                <w:rPr>
                  <w:sz w:val="16"/>
                  <w:szCs w:val="16"/>
                </w:rPr>
              </m:rPr>
              <m:t>f</m:t>
            </m:r>
          </m:sub>
        </m:sSub>
        <m:r>
          <m:rPr>
            <w:rPr>
              <w:sz w:val="16"/>
              <w:szCs w:val="16"/>
            </w:rPr>
          </m:rPr>
          <m:t>≥</m:t>
        </m:r>
        <m:r>
          <m:rPr>
            <w:rPr>
              <w:sz w:val="16"/>
              <w:szCs w:val="16"/>
            </w:rPr>
          </m:rPr>
          <m:t>0</m:t>
        </m:r>
      </m:oMath>
      <w:r>
        <w:rPr>
          <w:b w:val="0"/>
          <w:i w:val="0"/>
        </w:rPr>
        <w:t xml:space="preserve"> and </w:t>
      </w:r>
      <m:oMath>
        <m:r>
          <m:rPr>
            <w:rPr>
              <w:sz w:val="16"/>
              <w:szCs w:val="16"/>
            </w:rPr>
          </m:rPr>
          <m:t>τ</m:t>
        </m:r>
        <m:r>
          <m:rPr>
            <w:rPr>
              <w:sz w:val="16"/>
              <w:szCs w:val="16"/>
            </w:rPr>
          </m:rPr>
          <m:t>&gt;</m:t>
        </m:r>
        <m:r>
          <m:rPr>
            <w:rPr>
              <w:sz w:val="16"/>
              <w:szCs w:val="16"/>
            </w:rPr>
          </m:rPr>
          <m:t>0</m:t>
        </m:r>
      </m:oMath>
      <w:r>
        <w:rPr>
          <w:b w:val="0"/>
          <w:i w:val="0"/>
        </w:rPr>
        <w:t>.</w:t>
      </w:r>
    </w:p>
    <w:p>
      <w:pPr>
        <w:pStyle w:val="BodyText"/>
      </w:pPr>
      <w:r>
        <w:rPr>
          <w:b/>
        </w:rPr>
        <w:t>In plain words.</w:t>
      </w:r>
      <w:r>
        <w:rPr>
          <w:b w:val="0"/>
          <w:i w:val="0"/>
        </w:rPr>
        <w:t xml:space="preserve"> This is a placeholder explanation sentence describing the piecewise phase function above.</w:t>
      </w:r>
    </w:p>
    <w:p>
      <w:pPr>
        <w:pStyle w:val="Heading2"/>
      </w:pPr>
      <w:r>
        <w:t>Magnitude dynamics</w:t>
      </w:r>
    </w:p>
    <w:p>
      <w:pPr>
        <w:pStyle w:val="BodyText"/>
      </w:pPr>
      <w:r>
        <w:rPr>
          <w:b w:val="0"/>
          <w:i w:val="0"/>
        </w:rPr>
        <w:t>The placeholder update rule is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M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+</m:t>
          </m:r>
          <m:r>
            <m:rPr>
              <w:rPr>
                <w:sz w:val="16"/>
                <w:szCs w:val="16"/>
              </w:rPr>
            </m:rPr>
            <m:t>1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=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b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+</m:t>
          </m:r>
          <m:r>
            <m:rPr>
              <w:rPr>
                <w:sz w:val="16"/>
                <w:szCs w:val="16"/>
              </w:rPr>
            </m:rPr>
            <m:t>α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M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+</m:t>
          </m:r>
          <m:r>
            <m:rPr>
              <w:rPr>
                <w:sz w:val="16"/>
                <w:szCs w:val="16"/>
              </w:rPr>
            </m:rPr>
            <m:t>β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Φ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)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u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+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B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.</m:t>
          </m:r>
        </m:oMath>
      </m:oMathPara>
    </w:p>
    <w:p>
      <w:pPr>
        <w:pStyle w:val="BodyText"/>
      </w:pPr>
      <w:r>
        <w:rPr>
          <w:b w:val="0"/>
          <w:i w:val="0"/>
        </w:rPr>
        <w:t>The placeholder total incoming influence is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u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</m:sSub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t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>
                  <w:rPr>
                    <w:sz w:val="16"/>
                    <w:szCs w:val="16"/>
                  </w:rPr>
                </m:rPr>
                <m:t>R</m:t>
              </m:r>
              <m:r>
                <m:rPr>
                  <w:rPr>
                    <w:sz w:val="16"/>
                    <w:szCs w:val="16"/>
                  </w:rPr>
                </m:rPr>
                <m:t>:</m:t>
              </m:r>
              <m:r>
                <m:rPr>
                  <w:rPr>
                    <w:sz w:val="16"/>
                    <w:szCs w:val="16"/>
                  </w:rPr>
                  <m:sty m:val="p"/>
                </m:rPr>
                <m:t>target</m:t>
              </m:r>
              <m:r>
                <m:rPr>
                  <w:rPr>
                    <w:sz w:val="16"/>
                    <w:szCs w:val="16"/>
                  </w:rPr>
                </m:rPr>
                <m:t>(</m:t>
              </m:r>
              <m:r>
                <m:rPr>
                  <w:rPr>
                    <w:sz w:val="16"/>
                    <w:szCs w:val="16"/>
                  </w:rPr>
                </m:rPr>
                <m:t>R</m:t>
              </m:r>
              <m:r>
                <m:rPr>
                  <w:rPr>
                    <w:sz w:val="16"/>
                    <w:szCs w:val="16"/>
                  </w:rPr>
                </m:rPr>
                <m:t>)</m:t>
              </m:r>
              <m:r>
                <m:rPr>
                  <w:rPr>
                    <w:sz w:val="16"/>
                    <w:szCs w:val="16"/>
                  </w:rPr>
                </m:rPr>
                <m:t>=</m:t>
              </m:r>
              <m:r>
                <m:rPr>
                  <w:rPr>
                    <w:sz w:val="16"/>
                    <w:szCs w:val="16"/>
                  </w:rPr>
                </m:rPr>
                <m:t>i</m:t>
              </m:r>
            </m:sub>
            <m:sup/>
            <m:e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w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R</m:t>
                  </m:r>
                </m:sub>
              </m:sSub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g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R</m:t>
                  </m:r>
                </m:sub>
              </m:sSub>
              <m:d>
                <m:dPr>
                  <m:begChr m:val="("/>
                  <m:endChr m:val=")"/>
                </m:dPr>
                <m:e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M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J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(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-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ℓ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R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)</m:t>
                  </m:r>
                </m:e>
              </m:d>
              <m:r>
                <m:rPr>
                  <w:rPr>
                    <w:sz w:val="16"/>
                    <w:szCs w:val="16"/>
                  </w:rPr>
                </m:rPr>
                <m:t>.</m:t>
              </m:r>
            </m:e>
          </m:nary>
        </m:oMath>
      </m:oMathPara>
    </w:p>
    <w:p>
      <w:pPr>
        <w:pStyle w:val="BodyText"/>
      </w:pPr>
      <w:r>
        <w:rPr>
          <w:b/>
        </w:rPr>
        <w:t>In plain words.</w:t>
      </w:r>
      <w:r>
        <w:rPr>
          <w:b w:val="0"/>
          <w:i w:val="0"/>
        </w:rPr>
        <w:t xml:space="preserve"> This is a placeholder explanation sentence describing the two equations above.</w:t>
      </w:r>
    </w:p>
    <w:p>
      <w:pPr>
        <w:pStyle w:val="Heading2"/>
      </w:pPr>
      <w:r>
        <w:t>The placeholder store</w:t>
      </w:r>
    </w:p>
    <w:p>
      <w:pPr>
        <w:pStyle w:val="BodyText"/>
      </w:pPr>
      <w:r>
        <w:rPr>
          <w:b w:val="0"/>
          <w:i w:val="0"/>
        </w:rPr>
        <w:t>A placeholder relationship entry is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m:rPr>
              <w:rPr>
                <w:sz w:val="16"/>
                <w:szCs w:val="16"/>
              </w:rPr>
            </m:rPr>
            <m:t>R</m:t>
          </m:r>
          <m:r>
            <m:rPr>
              <w:rPr>
                <w:sz w:val="16"/>
                <w:szCs w:val="16"/>
              </w:rPr>
            </m:rPr>
            <m:t>=</m:t>
          </m:r>
          <m:r>
            <m:rPr>
              <w:rPr>
                <w:sz w:val="16"/>
                <w:szCs w:val="16"/>
              </w:rPr>
            </m:rPr>
            <m:t>(</m:t>
          </m:r>
          <m:r>
            <m:rPr>
              <w:rPr>
                <w:sz w:val="16"/>
                <w:szCs w:val="16"/>
              </w:rPr>
            </m:rPr>
            <m:t>i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J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ℓ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g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w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q</m:t>
          </m:r>
          <m:r>
            <m:rPr>
              <w:rPr>
                <w:sz w:val="16"/>
                <w:szCs w:val="16"/>
              </w:rPr>
            </m:rPr>
            <m:t>,</m:t>
          </m:r>
          <m:r>
            <m:rPr>
              <w:rPr>
                <w:sz w:val="16"/>
                <w:szCs w:val="16"/>
              </w:rPr>
            </m:rPr>
            <m:t>c</m:t>
          </m:r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,</m:t>
          </m:r>
        </m:oMath>
      </m:oMathPara>
    </w:p>
    <w:p>
      <w:pPr>
        <w:pStyle w:val="BodyText"/>
      </w:pPr>
      <w:r>
        <w:rPr>
          <w:b w:val="0"/>
          <w:i w:val="0"/>
        </w:rPr>
        <w:t>where each symbol stands in for a generic attribute of the fictitious relationship object.</w:t>
      </w:r>
    </w:p>
    <w:p>
      <w:pPr>
        <w:pStyle w:val="BodyText"/>
      </w:pPr>
      <w:r>
        <w:rPr>
          <w:b w:val="0"/>
          <w:i w:val="0"/>
        </w:rPr>
        <w:t>For each target, placeholder coefficients are fitted jointly: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w:rPr>
                    <w:sz w:val="16"/>
                    <w:szCs w:val="16"/>
                  </w:rPr>
                  <m:sty m:val="p"/>
                </m:rPr>
                <m:t>min</m:t>
              </m:r>
            </m:e>
            <m:sub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b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,</m:t>
              </m:r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w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</m:sub>
              </m:sSub>
            </m:sub>
          </m:sSub>
          <m:f>
            <m:fPr/>
            <m:num>
              <m:r>
                <m:rPr>
                  <w:rPr>
                    <w:sz w:val="16"/>
                    <w:szCs w:val="16"/>
                  </w:rPr>
                </m:rPr>
                <m:t>1</m:t>
              </m:r>
            </m:num>
            <m:den>
              <m:r>
                <m:rPr>
                  <w:rPr>
                    <w:sz w:val="16"/>
                    <w:szCs w:val="16"/>
                  </w:rPr>
                </m:rPr>
                <m:t>2</m:t>
              </m:r>
              <m:r>
                <m:rPr>
                  <w:rPr>
                    <w:sz w:val="16"/>
                    <w:szCs w:val="16"/>
                  </w:rPr>
                </m:rPr>
                <m:t>T</m:t>
              </m:r>
            </m:den>
          </m:f>
          <m:sSubSup>
            <m:sSubSupPr/>
            <m:e>
              <m:d>
                <m:dPr>
                  <m:begChr m:val="‖"/>
                  <m:endChr m:val="‖"/>
                </m:dPr>
                <m:e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M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,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2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: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-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b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  <m:sty m:val="p"/>
                    </m:rPr>
                    <m:t>1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-</m:t>
                  </m:r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G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</m:sub>
                  </m:sSub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w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</m:sub>
                  </m:sSub>
                </m:e>
              </m:d>
            </m:e>
            <m:sub>
              <m:r>
                <m:rPr>
                  <w:rPr>
                    <w:sz w:val="16"/>
                    <w:szCs w:val="16"/>
                  </w:rPr>
                </m:rPr>
                <m:t>2</m:t>
              </m:r>
            </m:sub>
            <m:sup>
              <m:r>
                <m:rPr>
                  <w:rPr>
                    <w:sz w:val="16"/>
                    <w:szCs w:val="16"/>
                  </w:rPr>
                </m:rPr>
                <m:t>2</m:t>
              </m:r>
            </m:sup>
          </m:sSubSup>
          <m:r>
            <m:rPr>
              <w:rPr>
                <w:sz w:val="16"/>
                <w:szCs w:val="16"/>
              </w:rPr>
            </m:rPr>
            <m:t>+</m:t>
          </m:r>
          <m:r>
            <m:rPr>
              <w:rPr>
                <w:sz w:val="16"/>
                <w:szCs w:val="16"/>
              </w:rPr>
            </m:rPr>
            <m:t>λ</m:t>
          </m:r>
          <m:sSub>
            <m:sSubPr/>
            <m:e>
              <m:d>
                <m:dPr>
                  <m:begChr m:val="‖"/>
                  <m:endChr m:val="‖"/>
                </m:dPr>
                <m:e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w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,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  <m:sty m:val="p"/>
                        </m:rPr>
                        <m:t>free</m:t>
                      </m:r>
                    </m:sub>
                  </m:sSub>
                </m:e>
              </m:d>
            </m:e>
            <m:sub>
              <m:r>
                <m:rPr>
                  <w:rPr>
                    <w:sz w:val="16"/>
                    <w:szCs w:val="16"/>
                  </w:rPr>
                </m:rPr>
                <m:t>1</m:t>
              </m:r>
            </m:sub>
          </m:sSub>
          <m:r>
            <m:rPr>
              <w:rPr>
                <w:sz w:val="16"/>
                <w:szCs w:val="16"/>
              </w:rPr>
            </m:rPr>
            <m:t>,</m:t>
          </m:r>
        </m:oMath>
      </m:oMathPara>
    </w:p>
    <w:p>
      <w:pPr>
        <w:pStyle w:val="BodyText"/>
      </w:pPr>
      <w:r>
        <w:rPr>
          <w:b w:val="0"/>
          <w:i w:val="0"/>
        </w:rPr>
        <w:t>subject to placeholder sign and interval constraints.</w:t>
      </w:r>
    </w:p>
    <w:p>
      <w:pPr>
        <w:pStyle w:val="BodyText"/>
      </w:pPr>
      <w:r>
        <w:rPr>
          <w:b/>
        </w:rPr>
        <w:t>In plain words.</w:t>
      </w:r>
      <w:r>
        <w:rPr>
          <w:b w:val="0"/>
          <w:i w:val="0"/>
        </w:rPr>
        <w:t xml:space="preserve"> This is a placeholder explanation sentence describing the joint fitting objective above.</w:t>
      </w:r>
    </w:p>
    <w:p>
      <w:pPr>
        <w:pStyle w:val="Heading2"/>
      </w:pPr>
      <w:r>
        <w:t>The normalization layer</w:t>
      </w:r>
    </w:p>
    <w:p>
      <w:pPr>
        <w:pStyle w:val="BodyText"/>
      </w:pPr>
      <w:r>
        <w:rPr>
          <w:b w:val="0"/>
          <w:i w:val="0"/>
        </w:rPr>
        <w:t>Placeholder discussion of a robust scaling transform, with no equation, to demonstrate a plain body paragraph inside a technical subsection.</w:t>
      </w:r>
    </w:p>
    <w:p>
      <w:pPr>
        <w:pStyle w:val="Heading2"/>
      </w:pPr>
      <w:r>
        <w:t>Stability by construction</w:t>
      </w:r>
    </w:p>
    <w:p>
      <w:pPr>
        <w:pStyle w:val="BodyText"/>
      </w:pPr>
      <w:r>
        <w:rPr>
          <w:b w:val="0"/>
          <w:i w:val="0"/>
        </w:rPr>
        <w:t>The placeholder global gain is reduced until</w:t>
      </w:r>
    </w:p>
    <w:p>
      <w:pPr>
        <w:pStyle w:val="equation"/>
        <w:jc w:val="center"/>
      </w:pPr>
      <m:oMathPara>
        <m:oMathParaPr>
          <m:jc m:val="center"/>
        </m:oMathParaPr>
        <m:oMath>
          <m:r>
            <m:rPr>
              <w:rPr>
                <w:sz w:val="16"/>
                <w:szCs w:val="16"/>
              </w:rPr>
            </m:rPr>
            <m:t>ρ</m:t>
          </m:r>
          <m:r>
            <m:rPr>
              <w:rPr>
                <w:sz w:val="16"/>
                <w:szCs w:val="16"/>
              </w:rPr>
            </m:rPr>
            <m:t>(</m:t>
          </m:r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A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c</m:t>
              </m:r>
            </m:sub>
          </m:sSub>
          <m:r>
            <m:rPr>
              <w:rPr>
                <w:sz w:val="16"/>
                <w:szCs w:val="16"/>
              </w:rPr>
            </m:rPr>
            <m:t>)</m:t>
          </m:r>
          <m:r>
            <m:rPr>
              <w:rPr>
                <w:sz w:val="16"/>
                <w:szCs w:val="16"/>
              </w:rPr>
            </m:rPr>
            <m:t>≤</m:t>
          </m:r>
          <m:r>
            <m:rPr>
              <w:rPr>
                <w:sz w:val="16"/>
                <w:szCs w:val="16"/>
              </w:rPr>
            </m:rPr>
            <m:t>0.98.</m:t>
          </m:r>
        </m:oMath>
      </m:oMathPara>
    </w:p>
    <w:p>
      <w:pPr>
        <w:pStyle w:val="BodyText"/>
      </w:pPr>
      <w:r>
        <w:rPr>
          <w:b/>
        </w:rPr>
        <w:t>In plain words.</w:t>
      </w:r>
      <w:r>
        <w:rPr>
          <w:b w:val="0"/>
          <w:i w:val="0"/>
        </w:rPr>
        <w:t xml:space="preserve"> Placeholder explanation of the stability condition above.</w:t>
      </w:r>
    </w:p>
    <w:p>
      <w:pPr>
        <w:pStyle w:val="Heading2"/>
      </w:pPr>
      <w:r>
        <w:t>Uncertainty</w:t>
      </w:r>
    </w:p>
    <w:p>
      <w:pPr>
        <w:pStyle w:val="BodyText"/>
      </w:pPr>
      <w:r>
        <w:rPr>
          <w:b w:val="0"/>
          <w:i w:val="0"/>
        </w:rPr>
        <w:t xml:space="preserve">For placeholder variable </w:t>
      </w:r>
      <m:oMath>
        <m:r>
          <m:rPr>
            <w:rPr>
              <w:sz w:val="16"/>
              <w:szCs w:val="16"/>
            </w:rPr>
          </m:rPr>
          <m:t>i</m:t>
        </m:r>
      </m:oMath>
      <w:r>
        <w:rPr>
          <w:b w:val="0"/>
          <w:i w:val="0"/>
        </w:rPr>
        <w:t xml:space="preserve">, horizon </w:t>
      </w:r>
      <m:oMath>
        <m:r>
          <m:rPr>
            <w:rPr>
              <w:sz w:val="16"/>
              <w:szCs w:val="16"/>
            </w:rPr>
          </m:rPr>
          <m:t>h</m:t>
        </m:r>
      </m:oMath>
      <w:r>
        <w:rPr>
          <w:b w:val="0"/>
          <w:i w:val="0"/>
        </w:rPr>
        <w:t xml:space="preserve">, and nominal coverage </w:t>
      </w:r>
      <m:oMath>
        <m:r>
          <m:rPr>
            <w:rPr>
              <w:sz w:val="16"/>
              <w:szCs w:val="16"/>
            </w:rPr>
          </m:rPr>
          <m:t>γ</m:t>
        </m:r>
      </m:oMath>
      <w:r>
        <w:rPr>
          <w:b w:val="0"/>
          <w:i w:val="0"/>
        </w:rPr>
        <w:t>, the placeholder calibration error defines</w:t>
      </w:r>
    </w:p>
    <w:p>
      <w:pPr>
        <w:pStyle w:val="equation"/>
        <w:jc w:val="center"/>
      </w:pPr>
      <m:oMathPara>
        <m:oMathParaPr>
          <m:jc m:val="center"/>
        </m:oMathParaPr>
        <m:oMath>
          <m:sSub>
            <m:sSubPr/>
            <m:e>
              <m:r>
                <m:rPr>
                  <w:rPr>
                    <w:sz w:val="16"/>
                    <w:szCs w:val="16"/>
                  </w:rPr>
                </m:rPr>
                <m:t>q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i</m:t>
              </m:r>
              <m:r>
                <m:rPr>
                  <w:rPr>
                    <w:sz w:val="16"/>
                    <w:szCs w:val="16"/>
                  </w:rPr>
                </m:rPr>
                <m:t>,</m:t>
              </m:r>
              <m:r>
                <m:rPr>
                  <w:rPr>
                    <w:sz w:val="16"/>
                    <w:szCs w:val="16"/>
                  </w:rPr>
                </m:rPr>
                <m:t>h</m:t>
              </m:r>
              <m:r>
                <m:rPr>
                  <w:rPr>
                    <w:sz w:val="16"/>
                    <w:szCs w:val="16"/>
                  </w:rPr>
                </m:rPr>
                <m:t>,</m:t>
              </m:r>
              <m:r>
                <m:rPr>
                  <w:rPr>
                    <w:sz w:val="16"/>
                    <w:szCs w:val="16"/>
                  </w:rPr>
                </m:rPr>
                <m:t>γ</m:t>
              </m:r>
            </m:sub>
          </m:sSub>
          <m:r>
            <m:rPr>
              <w:rPr>
                <w:sz w:val="16"/>
                <w:szCs w:val="16"/>
              </w:rPr>
            </m:rPr>
            <m:t>=</m:t>
          </m:r>
          <m:sSub>
            <m:sSubPr/>
            <m:e>
              <m:r>
                <m:rPr>
                  <w:rPr>
                    <w:sz w:val="16"/>
                    <w:szCs w:val="16"/>
                  </w:rPr>
                  <m:sty m:val="p"/>
                </m:rPr>
                <m:t>Quantile</m:t>
              </m:r>
            </m:e>
            <m:sub>
              <m:r>
                <m:rPr>
                  <w:rPr>
                    <w:sz w:val="16"/>
                    <w:szCs w:val="16"/>
                  </w:rPr>
                </m:rPr>
                <m:t>γ</m:t>
              </m:r>
            </m:sub>
          </m:sSub>
          <m:d>
            <m:dPr>
              <m:begChr m:val="("/>
              <m:endChr m:val=")"/>
            </m:dPr>
            <m:e>
              <m:d>
                <m:dPr>
                  <m:begChr m:val="|"/>
                  <m:endChr m:val="|"/>
                </m:dPr>
                <m:e>
                  <m:sSub>
                    <m:sSubPr/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z</m:t>
                      </m:r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,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+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h</m:t>
                      </m:r>
                    </m:sub>
                  </m:sSub>
                  <m:r>
                    <m:rPr>
                      <w:rPr>
                        <w:sz w:val="16"/>
                        <w:szCs w:val="16"/>
                      </w:rPr>
                    </m:rPr>
                    <m:t>-</m:t>
                  </m:r>
                  <m:sSub>
                    <m:sSubPr/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w:rPr>
                                <w:sz w:val="16"/>
                                <w:szCs w:val="16"/>
                              </w:rPr>
                            </m:rPr>
                            <m:t>z</m:t>
                          </m:r>
                        </m:e>
                      </m:acc>
                    </m:e>
                    <m:sub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i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,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t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+</m:t>
                      </m:r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h</m:t>
                      </m:r>
                    </m:sub>
                  </m:sSub>
                </m:e>
              </m:d>
            </m:e>
          </m:d>
          <m:r>
            <m:rPr>
              <w:rPr>
                <w:sz w:val="16"/>
                <w:szCs w:val="16"/>
              </w:rPr>
            </m:rPr>
            <m:t>.</m:t>
          </m:r>
        </m:oMath>
      </m:oMathPara>
    </w:p>
    <w:p>
      <w:pPr>
        <w:pStyle w:val="BodyText"/>
      </w:pPr>
      <w:r>
        <w:rPr>
          <w:b w:val="0"/>
          <w:i w:val="0"/>
        </w:rPr>
        <w:t>The placeholder predictive interval is</w:t>
      </w:r>
    </w:p>
    <w:p>
      <w:pPr>
        <w:pStyle w:val="equation"/>
        <w:jc w:val="center"/>
      </w:pPr>
      <m:oMathPara>
        <m:oMathParaPr>
          <m:jc m:val="center"/>
        </m:oMathParaPr>
        <m:oMath>
          <m:d>
            <m:dPr>
              <m:begChr m:val="["/>
              <m:endChr m:val="]"/>
            </m:dPr>
            <m:e>
              <m:sSub>
                <m:sSubPr/>
                <m:e>
                  <m:acc>
                    <m:accPr>
                      <m:chr m:val="̂"/>
                    </m:accPr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z</m:t>
                      </m:r>
                    </m:e>
                  </m:acc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h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-</m:t>
              </m:r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q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h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γ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,</m:t>
              </m:r>
              <m:sSub>
                <m:sSubPr/>
                <m:e>
                  <m:acc>
                    <m:accPr>
                      <m:chr m:val="̂"/>
                    </m:accPr>
                    <m:e>
                      <m:r>
                        <m:rPr>
                          <w:rPr>
                            <w:sz w:val="16"/>
                            <w:szCs w:val="16"/>
                          </w:rPr>
                        </m:rPr>
                        <m:t>z</m:t>
                      </m:r>
                    </m:e>
                  </m:acc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t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+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h</m:t>
                  </m:r>
                </m:sub>
              </m:sSub>
              <m:r>
                <m:rPr>
                  <w:rPr>
                    <w:sz w:val="16"/>
                    <w:szCs w:val="16"/>
                  </w:rPr>
                </m:rPr>
                <m:t>+</m:t>
              </m:r>
              <m:sSub>
                <m:sSubPr/>
                <m:e>
                  <m:r>
                    <m:rPr>
                      <w:rPr>
                        <w:sz w:val="16"/>
                        <w:szCs w:val="16"/>
                      </w:rPr>
                    </m:rPr>
                    <m:t>q</m:t>
                  </m:r>
                </m:e>
                <m:sub>
                  <m:r>
                    <m:rPr>
                      <w:rPr>
                        <w:sz w:val="16"/>
                        <w:szCs w:val="16"/>
                      </w:rPr>
                    </m:rPr>
                    <m:t>i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h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,</m:t>
                  </m:r>
                  <m:r>
                    <m:rPr>
                      <w:rPr>
                        <w:sz w:val="16"/>
                        <w:szCs w:val="16"/>
                      </w:rPr>
                    </m:rPr>
                    <m:t>γ</m:t>
                  </m:r>
                </m:sub>
              </m:sSub>
            </m:e>
          </m:d>
          <m:r>
            <m:rPr>
              <w:rPr>
                <w:sz w:val="16"/>
                <w:szCs w:val="16"/>
              </w:rPr>
            </m:rPr>
            <m:t>.</m:t>
          </m:r>
        </m:oMath>
      </m:oMathPara>
    </w:p>
    <w:p>
      <w:pPr>
        <w:pStyle w:val="BodyText"/>
      </w:pPr>
      <w:r>
        <w:rPr>
          <w:b/>
        </w:rPr>
        <w:t>In plain words.</w:t>
      </w:r>
      <w:r>
        <w:rPr>
          <w:b w:val="0"/>
          <w:i w:val="0"/>
        </w:rPr>
        <w:t xml:space="preserve"> Placeholder explanation of the two equations above.</w:t>
      </w:r>
    </w:p>
    <w:p>
      <w:pPr>
        <w:pStyle w:val="Heading2"/>
      </w:pPr>
      <w:r>
        <w:t>What is estimated, and what is declared</w:t>
      </w:r>
    </w:p>
    <w:p>
      <w:pPr>
        <w:pStyle w:val="Caption"/>
      </w:pPr>
      <w:r>
        <w:rPr>
          <w:b w:val="0"/>
          <w:i w:val="0"/>
        </w:rPr>
        <w:t>Table 2. Placeholder estimated and declared components.</w:t>
      </w:r>
    </w:p>
    <w:tbl>
      <w:tblPr>
        <w:tblStyle w:val="PlainTable2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b/>
                <w:sz w:val="16"/>
                <w:szCs w:val="16"/>
              </w:rPr>
            </w:r>
            <w:r>
              <w:rPr>
                <w:b/>
                <w:i w:val="0"/>
                <w:sz w:val="16"/>
                <w:szCs w:val="16"/>
              </w:rPr>
              <w:t>Component</w:t>
            </w:r>
          </w:p>
        </w:tc>
        <w:tc>
          <w:tcPr>
            <w:tcW w:type="dxa" w:w="3364"/>
          </w:tcPr>
          <w:p>
            <w:r>
              <w:rPr>
                <w:b/>
                <w:sz w:val="16"/>
                <w:szCs w:val="16"/>
              </w:rPr>
            </w:r>
            <w:r>
              <w:rPr>
                <w:b/>
                <w:i w:val="0"/>
                <w:sz w:val="16"/>
                <w:szCs w:val="16"/>
              </w:rPr>
              <w:t>Status</w:t>
            </w:r>
          </w:p>
        </w:tc>
        <w:tc>
          <w:tcPr>
            <w:tcW w:type="dxa" w:w="3364"/>
          </w:tcPr>
          <w:p>
            <w:r>
              <w:rPr>
                <w:b/>
                <w:sz w:val="16"/>
                <w:szCs w:val="16"/>
              </w:rPr>
            </w:r>
            <w:r>
              <w:rPr>
                <w:b/>
                <w:i w:val="0"/>
                <w:sz w:val="16"/>
                <w:szCs w:val="16"/>
              </w:rPr>
              <w:t>Source</w:t>
            </w:r>
          </w:p>
        </w:tc>
      </w:tr>
      <w:tr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coefficient A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Estimated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Training data</w:t>
            </w:r>
          </w:p>
        </w:tc>
      </w:tr>
      <w:tr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coefficient B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Declared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Domain expert</w:t>
            </w:r>
          </w:p>
        </w:tc>
      </w:tr>
      <w:tr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bound C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Declared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Domain expert</w:t>
            </w:r>
          </w:p>
        </w:tc>
      </w:tr>
      <w:tr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Placeholder phase timing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Declared</w:t>
            </w:r>
          </w:p>
        </w:tc>
        <w:tc>
          <w:tcPr>
            <w:tcW w:type="dxa" w:w="3364"/>
          </w:tcPr>
          <w:p>
            <w:r>
              <w:rPr>
                <w:sz w:val="16"/>
                <w:szCs w:val="16"/>
              </w:rPr>
            </w:r>
            <w:r>
              <w:rPr>
                <w:b w:val="0"/>
                <w:i w:val="0"/>
                <w:sz w:val="16"/>
                <w:szCs w:val="16"/>
              </w:rPr>
              <w:t>Event definition</w:t>
            </w:r>
          </w:p>
        </w:tc>
      </w:tr>
    </w:tbl>
    <w:p>
      <w:pPr>
        <w:pStyle w:val="Heading1"/>
      </w:pPr>
      <w:r>
        <w:t>Evaluation</w:t>
      </w:r>
    </w:p>
    <w:p>
      <w:pPr>
        <w:pStyle w:val="Heading2"/>
      </w:pPr>
      <w:r>
        <w:t>Systems with known ground truth</w:t>
      </w:r>
    </w:p>
    <w:p>
      <w:pPr>
        <w:pStyle w:val="BodyText"/>
      </w:pPr>
      <w:r>
        <w:rPr>
          <w:b w:val="0"/>
          <w:i w:val="0"/>
        </w:rPr>
        <w:t xml:space="preserve">Placeholder evaluation paragraph referencing a synthetic benchmark and citing prior baselines </w:t>
      </w:r>
      <w:sdt>
        <w:sdtPr>
          <w:citation/>
        </w:sdtPr>
        <w:sdtContent>
          <w:r>
            <w:fldChar w:fldCharType="begin"/>
          </w:r>
          <w:r>
            <w:instrText xml:space="preserve"> CITATION Ass20 \l 1033 </w:instrText>
          </w:r>
          <w:r>
            <w:fldChar w:fldCharType="separate"/>
          </w:r>
          <w:r>
            <w:rPr>
              <w:noProof/>
            </w:rPr>
            <w:t xml:space="preserve">[9]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Observed panels and a macroeconomic contrast</w:t>
      </w:r>
    </w:p>
    <w:p>
      <w:pPr>
        <w:pStyle w:val="BodyText"/>
      </w:pPr>
      <w:r>
        <w:rPr>
          <w:b w:val="0"/>
          <w:i w:val="0"/>
        </w:rPr>
        <w:t xml:space="preserve">Placeholder discussion of two fictitious observed panels </w:t>
      </w:r>
      <w:sdt>
        <w:sdtPr>
          <w:citation/>
        </w:sdtPr>
        <w:sdtContent>
          <w:r>
            <w:fldChar w:fldCharType="begin"/>
          </w:r>
          <w:r>
            <w:instrText xml:space="preserve"> CITATION Fra08 \l 1033 </w:instrText>
          </w:r>
          <w:r>
            <w:fldChar w:fldCharType="separate"/>
          </w:r>
          <w:r>
            <w:rPr>
              <w:noProof/>
            </w:rPr>
            <w:t xml:space="preserve">[13]</w:t>
          </w:r>
          <w:r>
            <w:fldChar w:fldCharType="end"/>
          </w:r>
        </w:sdtContent>
      </w:sdt>
      <w:r>
        <w:rPr>
          <w:b w:val="0"/>
          <w:i w:val="0"/>
        </w:rPr>
        <w:t xml:space="preserve">, </w:t>
      </w:r>
      <w:sdt>
        <w:sdtPr>
          <w:citation/>
        </w:sdtPr>
        <w:sdtContent>
          <w:r>
            <w:fldChar w:fldCharType="begin"/>
          </w:r>
          <w:r>
            <w:instrText xml:space="preserve"> CITATION Der17 \l 1033 </w:instrText>
          </w:r>
          <w:r>
            <w:fldChar w:fldCharType="separate"/>
          </w:r>
          <w:r>
            <w:rPr>
              <w:noProof/>
            </w:rPr>
            <w:t xml:space="preserve">[14]</w:t>
          </w:r>
          <w:r>
            <w:fldChar w:fldCharType="end"/>
          </w:r>
        </w:sdtContent>
      </w:sdt>
      <w:r>
        <w:rPr>
          <w:b w:val="0"/>
          <w:i w:val="0"/>
        </w:rPr>
        <w:t>.</w:t>
      </w:r>
    </w:p>
    <w:p>
      <w:pPr>
        <w:pStyle w:val="Heading2"/>
      </w:pPr>
      <w:r>
        <w:t>Ablation: uncapped vs. capped</w:t>
      </w:r>
    </w:p>
    <w:p>
      <w:pPr>
        <w:pStyle w:val="BodyText"/>
      </w:pPr>
      <w:r>
        <w:rPr>
          <w:b w:val="0"/>
          <w:i w:val="0"/>
        </w:rPr>
        <w:t>Placeholder ablation paragraph with no equations or citations.</w:t>
      </w:r>
    </w:p>
    <w:p>
      <w:pPr>
        <w:pStyle w:val="Heading2"/>
      </w:pPr>
      <w:r>
        <w:t>What the evaluation licenses</w:t>
      </w:r>
    </w:p>
    <w:p>
      <w:pPr>
        <w:pStyle w:val="BodyText"/>
      </w:pPr>
      <w:r>
        <w:rPr>
          <w:b w:val="0"/>
          <w:i w:val="0"/>
        </w:rPr>
        <w:t>Placeholder closing evaluation paragraph describing the scope of claims supported by the fictitious results.</w:t>
      </w:r>
    </w:p>
    <w:p>
      <w:pPr>
        <w:pStyle w:val="Heading1"/>
      </w:pPr>
      <w:r>
        <w:t>Discussion</w:t>
      </w:r>
    </w:p>
    <w:p>
      <w:pPr>
        <w:pStyle w:val="Heading2"/>
      </w:pPr>
      <w:r>
        <w:t>What the architecture buys</w:t>
      </w:r>
    </w:p>
    <w:p>
      <w:pPr>
        <w:pStyle w:val="BodyText"/>
      </w:pPr>
      <w:r>
        <w:rPr>
          <w:b w:val="0"/>
          <w:i w:val="0"/>
        </w:rPr>
        <w:t>Placeholder discussion paragraph.</w:t>
      </w:r>
    </w:p>
    <w:p>
      <w:pPr>
        <w:pStyle w:val="Heading2"/>
      </w:pPr>
      <w:r>
        <w:t>Where the model fits</w:t>
      </w:r>
    </w:p>
    <w:p>
      <w:pPr>
        <w:pStyle w:val="BodyText"/>
      </w:pPr>
      <w:r>
        <w:rPr>
          <w:b w:val="0"/>
          <w:i w:val="0"/>
        </w:rPr>
        <w:t>Placeholder discussion paragraph.</w:t>
      </w:r>
    </w:p>
    <w:p>
      <w:pPr>
        <w:pStyle w:val="Heading2"/>
      </w:pPr>
      <w:r>
        <w:t>Limitations</w:t>
      </w:r>
    </w:p>
    <w:p>
      <w:pPr>
        <w:pStyle w:val="BodyText"/>
      </w:pPr>
      <w:r>
        <w:rPr>
          <w:b w:val="0"/>
          <w:i w:val="0"/>
        </w:rPr>
        <w:t>Placeholder limitations paragraph.</w:t>
      </w:r>
    </w:p>
    <w:p>
      <w:pPr>
        <w:pStyle w:val="Heading1"/>
      </w:pPr>
      <w:r>
        <w:t>Conclusion and Future Work</w:t>
      </w:r>
    </w:p>
    <w:p>
      <w:pPr>
        <w:pStyle w:val="BodyText"/>
      </w:pPr>
      <w:r>
        <w:rPr>
          <w:b w:val="0"/>
          <w:i w:val="0"/>
        </w:rPr>
        <w:t>This is a generic placeholder conclusion summarizing the fictitious contribution described throughout this template.</w:t>
      </w:r>
    </w:p>
    <w:p>
      <w:pPr>
        <w:pStyle w:val="BodyText"/>
      </w:pPr>
      <w:r>
        <w:rPr>
          <w:b w:val="0"/>
          <w:i w:val="0"/>
        </w:rPr>
        <w:t>Future work should proceed in the following order:</w:t>
      </w:r>
    </w:p>
    <w:p>
      <w:pPr>
        <w:pStyle w:val="bulletlist"/>
      </w:pPr>
      <w:r>
        <w:rPr>
          <w:b w:val="0"/>
          <w:i w:val="0"/>
        </w:rPr>
        <w:t>Placeholder future direction one.</w:t>
      </w:r>
    </w:p>
    <w:p>
      <w:pPr>
        <w:pStyle w:val="bulletlist"/>
      </w:pPr>
      <w:r>
        <w:rPr>
          <w:b w:val="0"/>
          <w:i w:val="0"/>
        </w:rPr>
        <w:t>Placeholder future direction two.</w:t>
      </w:r>
    </w:p>
    <w:p>
      <w:pPr>
        <w:pStyle w:val="bulletlist"/>
      </w:pPr>
      <w:r>
        <w:rPr>
          <w:b w:val="0"/>
          <w:i w:val="0"/>
        </w:rPr>
        <w:t>Placeholder future direction three.</w:t>
      </w:r>
    </w:p>
    <w:p>
      <w:pPr>
        <w:pStyle w:val="BodyText"/>
      </w:pPr>
      <w:r>
        <w:rPr>
          <w:b/>
        </w:rPr>
        <w:t>Code availability.</w:t>
      </w:r>
      <w:r>
        <w:rPr>
          <w:b w:val="0"/>
          <w:i w:val="0"/>
        </w:rPr>
        <w:t xml:space="preserve"> Placeholder statement pointing to a fictitious repository at https://example.com/example/repo.</w:t>
      </w:r>
    </w:p>
    <w:p>
      <w:pPr>
        <w:pStyle w:val="Heading1"/>
      </w:pPr>
      <w:r>
        <w:t>References</w:t>
      </w:r>
    </w:p>
    <w:sdt>
      <w:sdtPr>
        <w:id w:val="-1550073829"/>
        <w:docPartObj>
          <w:docPartGallery w:val="Bibliographies"/>
          <w:docPartUnique/>
        </w:docPartObj>
      </w:sdtPr>
      <w:sdtEndPr/>
      <w:sdtContent>
        <w:p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100.0%" w:type="pct"/>
            <w:tblCellSpacing w:w="0.75pt" w:type="dxa"/>
            <w:tblCellMar>
              <w:top w:w="0.75pt" w:type="dxa"/>
              <w:start w:w="0.75pt" w:type="dxa"/>
              <w:bottom w:w="0.75pt" w:type="dxa"/>
              <w:end w:w="0.75pt" w:type="dxa"/>
            </w:tblCellMar>
            <w:tblLook w:firstRow="1" w:lastRow="0" w:firstColumn="1" w:lastColumn="0" w:noHBand="0" w:noVBand="1"/>
          </w:tblPr>
          <w:tblGrid>
            <w:gridCol w:w="409"/>
            <w:gridCol w:w="4457"/>
          </w:tblGrid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C. A. Sims, "Macroeconomics and reality," </w:t>
                </w:r>
                <w:r>
                  <w:rPr>
                    <w:i/>
                    <w:sz w:val="18"/>
                    <w:szCs w:val="18"/>
                  </w:rPr>
                  <w:t>Econometrica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48, no. 1, pp. 1-48, 1980, doi: 10.2307/1912017.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[2]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H. Lütkepohl, </w:t>
                </w:r>
                <w:r>
                  <w:rPr>
                    <w:i/>
                    <w:sz w:val="18"/>
                    <w:szCs w:val="18"/>
                  </w:rPr>
                  <w:t>New Introduction to Multiple Time Series Analysis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. Berlin, Germany: Springer, 2005.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[3]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R. Tibshirani, "Regression shrinkage and selection via the lasso," </w:t>
                </w:r>
                <w:r>
                  <w:rPr>
                    <w:i/>
                    <w:sz w:val="18"/>
                    <w:szCs w:val="18"/>
                  </w:rPr>
                  <w:t>J. Roy. Statist. Soc. Ser. B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58, no. 1, pp. 267-288, 1996, doi: 10.1111/j.2517-6161.1996.tb02080.x.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[4]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W. B. Nicholson, D. S. Matteson, and J. Bien, "VARX-L: Structured regularization for large vector autoregressions with exogenous variables," </w:t>
                </w:r>
                <w:r>
                  <w:rPr>
                    <w:i/>
                    <w:sz w:val="18"/>
                    <w:szCs w:val="18"/>
                  </w:rPr>
                  <w:t>Int. J. Forecasting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33, no. 3, pp. 627-651, 2017, doi: 10.1016/j.ijforecast.2016.05.003.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[5]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S. L. Brunton, J. L. Proctor, and J. N. Kutz, "Discovering governing equations from data by sparse identification of nonlinear dynamical systems," </w:t>
                </w:r>
                <w:r>
                  <w:rPr>
                    <w:i/>
                    <w:sz w:val="18"/>
                    <w:szCs w:val="18"/>
                  </w:rPr>
                  <w:t>Proc. Natl. Acad. Sci. U.S.A.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113, no. 15, pp. 3932-3937, 2016, doi: 10.1073/pnas.1517384113.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[6]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K. Champion, P. Zheng, A. Y. Aravkin, S. L. Brunton, and J. N. Kutz, "A unified sparse optimization framework to learn parsimonious physics-informed models from data," </w:t>
                </w:r>
                <w:r>
                  <w:rPr>
                    <w:i/>
                    <w:sz w:val="18"/>
                    <w:szCs w:val="18"/>
                  </w:rPr>
                  <w:t>IEEE Access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8, pp. 169259-169271, 2020, doi: 10.1109/ACCESS.2020.3023625.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[7]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A. G. Hawkes, "Spectra of some self-exciting and mutually exciting point processes," </w:t>
                </w:r>
                <w:r>
                  <w:rPr>
                    <w:i/>
                    <w:sz w:val="18"/>
                    <w:szCs w:val="18"/>
                  </w:rPr>
                  <w:t>Biometrika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58, no. 1, pp. 83-90, 1971, doi: 10.1093/biomet/58.1.83.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[8]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D. Salinas, V. Flunkert, J. Gasthaus, and T. Januschowski, "DeepAR: Probabilistic forecasting with autoregressive recurrent networks," </w:t>
                </w:r>
                <w:r>
                  <w:rPr>
                    <w:i/>
                    <w:sz w:val="18"/>
                    <w:szCs w:val="18"/>
                  </w:rPr>
                  <w:t>Int. J. Forecasting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36, no. 3, pp. 1181-1191, 2020, doi: 10.1016/j.ijforecast.2019.07.001.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[9]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S. Makridakis, E. Spiliotis, and V. Assimakopoulos, "The M4 competition: 100,000 time series and 61 forecasting methods," </w:t>
                </w:r>
                <w:r>
                  <w:rPr>
                    <w:i/>
                    <w:sz w:val="18"/>
                    <w:szCs w:val="18"/>
                  </w:rPr>
                  <w:t>Int. J. Forecasting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36, no. 1, pp. 54-74, 2020, doi: 10.1016/j.ijforecast.2019.04.014.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[10]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C. Leys, C. Ley, O. Klein, P. Bernard, and L. Licata, "Detecting outliers: Do not use standard deviation around the mean, use absolute deviation around the median," </w:t>
                </w:r>
                <w:r>
                  <w:rPr>
                    <w:i/>
                    <w:sz w:val="18"/>
                    <w:szCs w:val="18"/>
                  </w:rPr>
                  <w:t>J. Exp. Soc. Psychol.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49, no. 4, pp. 764-766, 2013, doi: 10.1016/j.jesp.2013.03.013.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[11]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G. Shafer and V. Vovk, "A tutorial on conformal prediction," </w:t>
                </w:r>
                <w:r>
                  <w:rPr>
                    <w:i/>
                    <w:sz w:val="18"/>
                    <w:szCs w:val="18"/>
                  </w:rPr>
                  <w:t>J. Mach. Learn. Res.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9, pp. 371-421, 2008.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[12]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K. Stankeviciute, A. M. Alaa, and M. van der Schaar, "Conformal time-series forecasting," in </w:t>
                </w:r>
                <w:r>
                  <w:rPr>
                    <w:i/>
                    <w:sz w:val="18"/>
                    <w:szCs w:val="18"/>
                  </w:rPr>
                  <w:t>Advances in Neural Information Processing Systems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34, 2021.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[13]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S. De Vito, E. Massera, M. Piga, L. Martinotto, and G. Di Francia, "On field calibration of an electronic nose for benzene estimation in an urban pollution monitoring scenario," </w:t>
                </w:r>
                <w:r>
                  <w:rPr>
                    <w:i/>
                    <w:sz w:val="18"/>
                    <w:szCs w:val="18"/>
                  </w:rPr>
                  <w:t>Sensors Actuators B Chem.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129, no. 2, pp. 750-757, 2008, doi: 10.1016/j.snb.2007.09.060.</w:t>
                </w:r>
              </w:p>
            </w:tc>
          </w:tr>
          <w:tr>
            <w:tc>
              <w:tcPr>
                <w:tcW w:type="dxa" w:w="409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sz w:val="18"/>
                    <w:szCs w:val="18"/>
                  </w:rPr>
                  <w:t xml:space="preserve">[14] </w:t>
                </w:r>
              </w:p>
            </w:tc>
            <w:tc>
              <w:tcPr>
                <w:tcW w:type="dxa" w:w="4457"/>
              </w:tcPr>
              <w:p>
                <w:pPr>
                  <w:pStyle w:val="Bibliography"/>
                </w:pPr>
                <w:r>
                  <w:rPr>
                    <w:sz w:val="18"/>
                    <w:szCs w:val="18"/>
                  </w:rPr>
                </w:r>
                <w:r>
                  <w:rPr>
                    <w:b w:val="0"/>
                    <w:i w:val="0"/>
                    <w:sz w:val="18"/>
                    <w:szCs w:val="18"/>
                  </w:rPr>
                  <w:t xml:space="preserve">L. M. Candanedo, V. Feldheim, and D. Deramaix, "Data driven prediction models of energy use of appliances in a low-energy house," </w:t>
                </w:r>
                <w:r>
                  <w:rPr>
                    <w:i/>
                    <w:sz w:val="18"/>
                    <w:szCs w:val="18"/>
                  </w:rPr>
                  <w:t>Energy Build.</w:t>
                </w:r>
                <w:r>
                  <w:rPr>
                    <w:b w:val="0"/>
                    <w:i w:val="0"/>
                    <w:sz w:val="18"/>
                    <w:szCs w:val="18"/>
                  </w:rPr>
                  <w:t>, vol. 140, pp. 81-97, 2017, doi: 10.1016/j.enbuild.2017.01.083.</w:t>
                </w:r>
              </w:p>
            </w:tc>
          </w:tr>
        </w:tbl>
        <w:p/>
        <w:p>
          <w:r>
            <w:fldChar w:fldCharType="end"/>
          </w:r>
        </w:p>
      </w:sdtContent>
    </w:sdt>
    <w:sectPr w:rsidR="00285134" w:rsidSect="00C357EB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F352E99" w14:textId="77777777" w:rsidR="00C0505D" w:rsidRDefault="00C0505D" w:rsidP="001A3B3D">
      <w:r>
        <w:separator/>
      </w:r>
    </w:p>
  </w:endnote>
  <w:endnote w:type="continuationSeparator" w:id="0">
    <w:p w14:paraId="475B6396" w14:textId="77777777" w:rsidR="00C0505D" w:rsidRDefault="00C0505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characterSet="iso-8859-1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characterSet="macintosh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characterSet="iso-8859-1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characterSet="iso-8859-1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rPr>
        <w:rStyle w:val="PageNumber"/>
      </w:rPr>
      <w:id w:val="-431123360"/>
      <w:docPartObj>
        <w:docPartGallery w:val="Page Numbers (Bottom of Page)"/>
        <w:docPartUnique/>
      </w:docPartObj>
    </w:sdtPr>
    <w:sdtContent>
      <w:p w14:paraId="4FEEF87A" w14:textId="77777777" w:rsidR="00056C97" w:rsidRDefault="00056C97" w:rsidP="005D30BE">
        <w:pPr>
          <w:pStyle w:val="Footer"/>
          <w:framePr w:wrap="none" w:vAnchor="text" w:hAnchor="margin" w:xAlign="center" w:y="0.05p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31C9C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BF44F4" w14:textId="77777777" w:rsidR="00056C97" w:rsidRDefault="00056C97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rPr>
        <w:rStyle w:val="PageNumber"/>
      </w:rPr>
      <w:id w:val="-33967410"/>
      <w:docPartObj>
        <w:docPartGallery w:val="Page Numbers (Bottom of Page)"/>
        <w:docPartUnique/>
      </w:docPartObj>
    </w:sdtPr>
    <w:sdtContent>
      <w:p w14:paraId="181C0C53" w14:textId="77777777" w:rsidR="00056C97" w:rsidRDefault="00056C97" w:rsidP="005D30BE">
        <w:pPr>
          <w:pStyle w:val="Footer"/>
          <w:framePr w:wrap="none" w:vAnchor="text" w:hAnchor="margin" w:xAlign="center" w:y="0.05p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711839A" w14:textId="77777777" w:rsidR="00056C97" w:rsidRDefault="00056C97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07E8B7E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3BE4021" w14:textId="77777777" w:rsidR="00C0505D" w:rsidRDefault="00C0505D" w:rsidP="001A3B3D">
      <w:r>
        <w:separator/>
      </w:r>
    </w:p>
  </w:footnote>
  <w:footnote w:type="continuationSeparator" w:id="0">
    <w:p w14:paraId="7AD5B0A4" w14:textId="77777777" w:rsidR="00C0505D" w:rsidRDefault="00C0505D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B5C8575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07ACA318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480ED87C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8AF07B9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36B4088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7F09A58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F9E63D6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A58A8C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B882420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ABE8813A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2CD316B"/>
    <w:multiLevelType w:val="hybridMultilevel"/>
    <w:tmpl w:val="252A3982"/>
    <w:lvl w:ilvl="0" w:tplc="1256CC14">
      <w:start w:val="1"/>
      <w:numFmt w:val="bullet"/>
      <w:lvlText w:val="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07085CA4"/>
    <w:multiLevelType w:val="multilevel"/>
    <w:tmpl w:val="B8F2C7E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13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4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4976FE5"/>
    <w:multiLevelType w:val="multilevel"/>
    <w:tmpl w:val="F8C2EB8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1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7" w15:restartNumberingAfterBreak="0">
    <w:nsid w:val="27615C86"/>
    <w:multiLevelType w:val="hybridMultilevel"/>
    <w:tmpl w:val="8C504B26"/>
    <w:lvl w:ilvl="0" w:tplc="1256CC14">
      <w:start w:val="1"/>
      <w:numFmt w:val="bullet"/>
      <w:lvlText w:val="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18" w15:restartNumberingAfterBreak="0">
    <w:nsid w:val="2D363D29"/>
    <w:multiLevelType w:val="multilevel"/>
    <w:tmpl w:val="F8D4698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0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21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22" w15:restartNumberingAfterBreak="0">
    <w:nsid w:val="41E06593"/>
    <w:multiLevelType w:val="hybridMultilevel"/>
    <w:tmpl w:val="E5DA9C58"/>
    <w:lvl w:ilvl="0" w:tplc="1256CC14">
      <w:start w:val="1"/>
      <w:numFmt w:val="bullet"/>
      <w:lvlText w:val=""/>
      <w:lvlJc w:val="start"/>
      <w:pPr>
        <w:ind w:start="52.6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8.6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4.6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60.6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6.6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2.6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8.6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4.6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40.60pt" w:hanging="18pt"/>
      </w:pPr>
      <w:rPr>
        <w:rFonts w:ascii="Wingdings" w:hAnsi="Wingdings" w:hint="default"/>
      </w:rPr>
    </w:lvl>
  </w:abstractNum>
  <w:abstractNum w:abstractNumId="23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4" w15:restartNumberingAfterBreak="0">
    <w:nsid w:val="4D057995"/>
    <w:multiLevelType w:val="hybridMultilevel"/>
    <w:tmpl w:val="35E86E4C"/>
    <w:lvl w:ilvl="0" w:tplc="1256CC14">
      <w:start w:val="1"/>
      <w:numFmt w:val="bullet"/>
      <w:lvlText w:val="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5" w15:restartNumberingAfterBreak="0">
    <w:nsid w:val="4DB557BF"/>
    <w:multiLevelType w:val="hybridMultilevel"/>
    <w:tmpl w:val="0D0623B0"/>
    <w:lvl w:ilvl="0" w:tplc="1256CC14">
      <w:start w:val="1"/>
      <w:numFmt w:val="bullet"/>
      <w:lvlText w:val="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abstractNum w:abstractNumId="26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7" w15:restartNumberingAfterBreak="0">
    <w:nsid w:val="5D4851A4"/>
    <w:multiLevelType w:val="multilevel"/>
    <w:tmpl w:val="8E6893A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228D5"/>
    <w:multiLevelType w:val="multilevel"/>
    <w:tmpl w:val="69322D2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start"/>
      <w:pPr>
        <w:tabs>
          <w:tab w:val="num" w:pos="72pt"/>
        </w:tabs>
        <w:ind w:start="72pt" w:hanging="18pt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start"/>
      <w:pPr>
        <w:tabs>
          <w:tab w:val="num" w:pos="108pt"/>
        </w:tabs>
        <w:ind w:start="108pt" w:hanging="18pt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start"/>
      <w:pPr>
        <w:tabs>
          <w:tab w:val="num" w:pos="180pt"/>
        </w:tabs>
        <w:ind w:start="180pt" w:hanging="18pt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start"/>
      <w:pPr>
        <w:tabs>
          <w:tab w:val="num" w:pos="216pt"/>
        </w:tabs>
        <w:ind w:start="216pt" w:hanging="18pt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start"/>
      <w:pPr>
        <w:tabs>
          <w:tab w:val="num" w:pos="288pt"/>
        </w:tabs>
        <w:ind w:start="288pt" w:hanging="18pt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start"/>
      <w:pPr>
        <w:tabs>
          <w:tab w:val="num" w:pos="324pt"/>
        </w:tabs>
        <w:ind w:start="324pt" w:hanging="18pt"/>
      </w:pPr>
      <w:rPr>
        <w:rFonts w:ascii="Symbol" w:hAnsi="Symbol" w:hint="default"/>
        <w:sz w:val="20"/>
      </w:rPr>
    </w:lvl>
  </w:abstractNum>
  <w:abstractNum w:abstractNumId="2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3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1" w15:restartNumberingAfterBreak="0">
    <w:nsid w:val="71871D35"/>
    <w:multiLevelType w:val="hybridMultilevel"/>
    <w:tmpl w:val="7F683DFA"/>
    <w:lvl w:ilvl="0" w:tplc="1256CC14">
      <w:start w:val="1"/>
      <w:numFmt w:val="bullet"/>
      <w:lvlText w:val=""/>
      <w:lvlJc w:val="start"/>
      <w:pPr>
        <w:ind w:start="50.4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num w:numId="1" w16cid:durableId="1636062573">
    <w:abstractNumId w:val="19"/>
  </w:num>
  <w:num w:numId="2" w16cid:durableId="23487023">
    <w:abstractNumId w:val="29"/>
  </w:num>
  <w:num w:numId="3" w16cid:durableId="369765689">
    <w:abstractNumId w:val="16"/>
  </w:num>
  <w:num w:numId="4" w16cid:durableId="786461058">
    <w:abstractNumId w:val="21"/>
  </w:num>
  <w:num w:numId="5" w16cid:durableId="572668379">
    <w:abstractNumId w:val="21"/>
  </w:num>
  <w:num w:numId="6" w16cid:durableId="326591496">
    <w:abstractNumId w:val="21"/>
  </w:num>
  <w:num w:numId="7" w16cid:durableId="1132287708">
    <w:abstractNumId w:val="21"/>
  </w:num>
  <w:num w:numId="8" w16cid:durableId="165444424">
    <w:abstractNumId w:val="26"/>
  </w:num>
  <w:num w:numId="9" w16cid:durableId="491064684">
    <w:abstractNumId w:val="30"/>
  </w:num>
  <w:num w:numId="10" w16cid:durableId="854733087">
    <w:abstractNumId w:val="20"/>
  </w:num>
  <w:num w:numId="11" w16cid:durableId="1482768245">
    <w:abstractNumId w:val="14"/>
  </w:num>
  <w:num w:numId="12" w16cid:durableId="1605651354">
    <w:abstractNumId w:val="13"/>
  </w:num>
  <w:num w:numId="13" w16cid:durableId="1376351051">
    <w:abstractNumId w:val="0"/>
  </w:num>
  <w:num w:numId="14" w16cid:durableId="1490830851">
    <w:abstractNumId w:val="10"/>
  </w:num>
  <w:num w:numId="15" w16cid:durableId="138504116">
    <w:abstractNumId w:val="8"/>
  </w:num>
  <w:num w:numId="16" w16cid:durableId="138309798">
    <w:abstractNumId w:val="7"/>
  </w:num>
  <w:num w:numId="17" w16cid:durableId="2059278618">
    <w:abstractNumId w:val="6"/>
  </w:num>
  <w:num w:numId="18" w16cid:durableId="1747263918">
    <w:abstractNumId w:val="5"/>
  </w:num>
  <w:num w:numId="19" w16cid:durableId="1517502179">
    <w:abstractNumId w:val="9"/>
  </w:num>
  <w:num w:numId="20" w16cid:durableId="332952490">
    <w:abstractNumId w:val="4"/>
  </w:num>
  <w:num w:numId="21" w16cid:durableId="1189371173">
    <w:abstractNumId w:val="3"/>
  </w:num>
  <w:num w:numId="22" w16cid:durableId="1426338680">
    <w:abstractNumId w:val="2"/>
  </w:num>
  <w:num w:numId="23" w16cid:durableId="464196530">
    <w:abstractNumId w:val="1"/>
  </w:num>
  <w:num w:numId="24" w16cid:durableId="1571621940">
    <w:abstractNumId w:val="23"/>
  </w:num>
  <w:num w:numId="25" w16cid:durableId="2001231788">
    <w:abstractNumId w:val="18"/>
  </w:num>
  <w:num w:numId="26" w16cid:durableId="657881948">
    <w:abstractNumId w:val="24"/>
  </w:num>
  <w:num w:numId="27" w16cid:durableId="299775751">
    <w:abstractNumId w:val="28"/>
  </w:num>
  <w:num w:numId="28" w16cid:durableId="1987120126">
    <w:abstractNumId w:val="22"/>
  </w:num>
  <w:num w:numId="29" w16cid:durableId="56754695">
    <w:abstractNumId w:val="27"/>
  </w:num>
  <w:num w:numId="30" w16cid:durableId="1652783000">
    <w:abstractNumId w:val="25"/>
  </w:num>
  <w:num w:numId="31" w16cid:durableId="1015032318">
    <w:abstractNumId w:val="11"/>
  </w:num>
  <w:num w:numId="32" w16cid:durableId="848645694">
    <w:abstractNumId w:val="31"/>
  </w:num>
  <w:num w:numId="33" w16cid:durableId="1966033540">
    <w:abstractNumId w:val="12"/>
  </w:num>
  <w:num w:numId="34" w16cid:durableId="1694451826">
    <w:abstractNumId w:val="15"/>
  </w:num>
  <w:num w:numId="35" w16cid:durableId="10908566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7E05"/>
    <w:rsid w:val="0004781E"/>
    <w:rsid w:val="00056C97"/>
    <w:rsid w:val="0008758A"/>
    <w:rsid w:val="000B2E6E"/>
    <w:rsid w:val="000C1E68"/>
    <w:rsid w:val="001A2EFD"/>
    <w:rsid w:val="001A3B3D"/>
    <w:rsid w:val="001B67DC"/>
    <w:rsid w:val="00206F0C"/>
    <w:rsid w:val="00212201"/>
    <w:rsid w:val="002254A9"/>
    <w:rsid w:val="00233D97"/>
    <w:rsid w:val="002347A2"/>
    <w:rsid w:val="00244B1A"/>
    <w:rsid w:val="002850E3"/>
    <w:rsid w:val="00285134"/>
    <w:rsid w:val="002973BC"/>
    <w:rsid w:val="002E4A57"/>
    <w:rsid w:val="002E6424"/>
    <w:rsid w:val="00310A2A"/>
    <w:rsid w:val="00312CE4"/>
    <w:rsid w:val="00344F55"/>
    <w:rsid w:val="00354FCF"/>
    <w:rsid w:val="0036667F"/>
    <w:rsid w:val="003A19E2"/>
    <w:rsid w:val="003A1D2F"/>
    <w:rsid w:val="003B1E8A"/>
    <w:rsid w:val="003B2B40"/>
    <w:rsid w:val="003B4E04"/>
    <w:rsid w:val="003E771B"/>
    <w:rsid w:val="003F5A08"/>
    <w:rsid w:val="00420716"/>
    <w:rsid w:val="004325FB"/>
    <w:rsid w:val="004432BA"/>
    <w:rsid w:val="0044407E"/>
    <w:rsid w:val="00447BB9"/>
    <w:rsid w:val="0046031D"/>
    <w:rsid w:val="00462475"/>
    <w:rsid w:val="00473AC9"/>
    <w:rsid w:val="004A380D"/>
    <w:rsid w:val="004C4EC4"/>
    <w:rsid w:val="004D72B5"/>
    <w:rsid w:val="005006B3"/>
    <w:rsid w:val="0052497F"/>
    <w:rsid w:val="00540353"/>
    <w:rsid w:val="00546D9A"/>
    <w:rsid w:val="00551B7F"/>
    <w:rsid w:val="0056610F"/>
    <w:rsid w:val="00575BCA"/>
    <w:rsid w:val="005B0344"/>
    <w:rsid w:val="005B520E"/>
    <w:rsid w:val="005E2800"/>
    <w:rsid w:val="00605825"/>
    <w:rsid w:val="00631C9C"/>
    <w:rsid w:val="00645D22"/>
    <w:rsid w:val="00651A08"/>
    <w:rsid w:val="00654204"/>
    <w:rsid w:val="00670434"/>
    <w:rsid w:val="00671021"/>
    <w:rsid w:val="006A4C77"/>
    <w:rsid w:val="006B6B66"/>
    <w:rsid w:val="006F52E1"/>
    <w:rsid w:val="006F6D3D"/>
    <w:rsid w:val="00715BEA"/>
    <w:rsid w:val="00735834"/>
    <w:rsid w:val="00740EEA"/>
    <w:rsid w:val="00794804"/>
    <w:rsid w:val="007A348F"/>
    <w:rsid w:val="007B33F1"/>
    <w:rsid w:val="007B6DDA"/>
    <w:rsid w:val="007B7608"/>
    <w:rsid w:val="007C0308"/>
    <w:rsid w:val="007C2FF2"/>
    <w:rsid w:val="007C7B7F"/>
    <w:rsid w:val="007D6232"/>
    <w:rsid w:val="007F1F99"/>
    <w:rsid w:val="007F768F"/>
    <w:rsid w:val="0080791D"/>
    <w:rsid w:val="008102C3"/>
    <w:rsid w:val="00836367"/>
    <w:rsid w:val="00873603"/>
    <w:rsid w:val="008A2C7D"/>
    <w:rsid w:val="008B6524"/>
    <w:rsid w:val="008C1855"/>
    <w:rsid w:val="008C4B23"/>
    <w:rsid w:val="008F6E2C"/>
    <w:rsid w:val="00910E5D"/>
    <w:rsid w:val="009303D9"/>
    <w:rsid w:val="00933C64"/>
    <w:rsid w:val="00964CA5"/>
    <w:rsid w:val="00972203"/>
    <w:rsid w:val="00972B5F"/>
    <w:rsid w:val="00995550"/>
    <w:rsid w:val="0099687E"/>
    <w:rsid w:val="009B3E84"/>
    <w:rsid w:val="009F1D79"/>
    <w:rsid w:val="00A059B3"/>
    <w:rsid w:val="00A3183B"/>
    <w:rsid w:val="00A45A8B"/>
    <w:rsid w:val="00AA195C"/>
    <w:rsid w:val="00AB67C4"/>
    <w:rsid w:val="00AD5B11"/>
    <w:rsid w:val="00AE3409"/>
    <w:rsid w:val="00AE6C2B"/>
    <w:rsid w:val="00B11A60"/>
    <w:rsid w:val="00B16CB0"/>
    <w:rsid w:val="00B22613"/>
    <w:rsid w:val="00B44A76"/>
    <w:rsid w:val="00B61ED0"/>
    <w:rsid w:val="00B768D1"/>
    <w:rsid w:val="00BA033D"/>
    <w:rsid w:val="00BA1025"/>
    <w:rsid w:val="00BC3420"/>
    <w:rsid w:val="00BD670B"/>
    <w:rsid w:val="00BE7D3C"/>
    <w:rsid w:val="00BF5FF6"/>
    <w:rsid w:val="00C0207F"/>
    <w:rsid w:val="00C0505D"/>
    <w:rsid w:val="00C1068A"/>
    <w:rsid w:val="00C16117"/>
    <w:rsid w:val="00C3075A"/>
    <w:rsid w:val="00C357EB"/>
    <w:rsid w:val="00C67D49"/>
    <w:rsid w:val="00C919A4"/>
    <w:rsid w:val="00CA4392"/>
    <w:rsid w:val="00CC393F"/>
    <w:rsid w:val="00CE50A8"/>
    <w:rsid w:val="00D14237"/>
    <w:rsid w:val="00D2176E"/>
    <w:rsid w:val="00D25B3A"/>
    <w:rsid w:val="00D42783"/>
    <w:rsid w:val="00D56856"/>
    <w:rsid w:val="00D632BE"/>
    <w:rsid w:val="00D72D06"/>
    <w:rsid w:val="00D7522C"/>
    <w:rsid w:val="00D7536F"/>
    <w:rsid w:val="00D76668"/>
    <w:rsid w:val="00DB5B91"/>
    <w:rsid w:val="00DE2CC9"/>
    <w:rsid w:val="00E00EAC"/>
    <w:rsid w:val="00E07383"/>
    <w:rsid w:val="00E165BC"/>
    <w:rsid w:val="00E45584"/>
    <w:rsid w:val="00E61E12"/>
    <w:rsid w:val="00E7596C"/>
    <w:rsid w:val="00E878F2"/>
    <w:rsid w:val="00EC61B0"/>
    <w:rsid w:val="00ED0149"/>
    <w:rsid w:val="00EE7A89"/>
    <w:rsid w:val="00EF7DE3"/>
    <w:rsid w:val="00F03103"/>
    <w:rsid w:val="00F12BC5"/>
    <w:rsid w:val="00F271DE"/>
    <w:rsid w:val="00F376E3"/>
    <w:rsid w:val="00F627DA"/>
    <w:rsid w:val="00F71849"/>
    <w:rsid w:val="00F7288F"/>
    <w:rsid w:val="00F750E0"/>
    <w:rsid w:val="00F847A6"/>
    <w:rsid w:val="00F9441B"/>
    <w:rsid w:val="00FA1439"/>
    <w:rsid w:val="00FA4C32"/>
    <w:rsid w:val="00FB052D"/>
    <w:rsid w:val="00FD0784"/>
    <w:rsid w:val="00FD34D8"/>
    <w:rsid w:val="00FE6C3F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BE5534E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NormalWeb">
    <w:name w:val="Normal (Web)"/>
    <w:basedOn w:val="Normal"/>
    <w:uiPriority w:val="99"/>
    <w:unhideWhenUsed/>
    <w:rsid w:val="00462475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6667F"/>
    <w:pPr>
      <w:spacing w:after="10pt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unhideWhenUsed/>
    <w:rsid w:val="00671021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61ED0"/>
    <w:pPr>
      <w:spacing w:before="24pt" w:after="24pt"/>
      <w:contextualSpacing/>
      <w:jc w:val="start"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ED0"/>
    <w:rPr>
      <w:rFonts w:eastAsiaTheme="majorEastAsia" w:cstheme="majorBidi"/>
      <w:b/>
      <w:spacing w:val="-10"/>
      <w:kern w:val="28"/>
      <w:sz w:val="52"/>
      <w:szCs w:val="56"/>
    </w:rPr>
  </w:style>
  <w:style w:type="table" w:styleId="PlainTable2">
    <w:name w:val="Plain Table 2"/>
    <w:basedOn w:val="TableNormal"/>
    <w:uiPriority w:val="42"/>
    <w:rsid w:val="00027E0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2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027E05"/>
    <w:rPr>
      <w:b/>
      <w:bCs/>
    </w:rPr>
  </w:style>
  <w:style w:type="paragraph" w:styleId="ListParagraph">
    <w:name w:val="List Paragraph"/>
    <w:basedOn w:val="Normal"/>
    <w:uiPriority w:val="34"/>
    <w:qFormat/>
    <w:rsid w:val="003A1D2F"/>
    <w:pPr>
      <w:spacing w:before="6pt" w:after="6pt"/>
      <w:ind w:start="36pt"/>
      <w:contextualSpacing/>
      <w:jc w:val="start"/>
    </w:pPr>
    <w:rPr>
      <w:rFonts w:eastAsia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6C97"/>
    <w:rPr>
      <w:smallCaps/>
      <w:noProof/>
    </w:rPr>
  </w:style>
  <w:style w:type="paragraph" w:styleId="Bibliography">
    <w:name w:val="Bibliography"/>
    <w:basedOn w:val="Normal"/>
    <w:next w:val="Normal"/>
    <w:uiPriority w:val="37"/>
    <w:unhideWhenUsed/>
    <w:rsid w:val="00056C97"/>
  </w:style>
  <w:style w:type="character" w:styleId="PageNumber">
    <w:name w:val="page number"/>
    <w:basedOn w:val="DefaultParagraphFont"/>
    <w:rsid w:val="00056C97"/>
  </w:style>
  <w:style w:type="character" w:styleId="Emphasis">
    <w:name w:val="Emphasis"/>
    <w:basedOn w:val="DefaultParagraphFont"/>
    <w:qFormat/>
    <w:rsid w:val="006F52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9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77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33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4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11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03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7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3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1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4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1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15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6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4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62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0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70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1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40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864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6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05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6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8919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0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80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2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622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5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9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9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3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75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32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5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8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71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50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47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70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0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2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6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6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3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2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6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3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5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59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3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4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8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33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3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0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8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6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5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8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9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7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023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83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3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2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7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9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15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8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3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3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8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3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0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92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6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3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1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31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67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515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9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3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78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32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1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07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74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5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0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12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3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5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2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77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8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18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7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5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71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553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34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68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3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40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0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59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9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8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8089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369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6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Sim80</b:Tag>
    <b:SourceType>JournalArticle</b:SourceType>
    <b:Guid>{998FBDAE-67C8-4542-94E6-F7A793C0B75F}</b:Guid>
    <b:Author>
      <b:Author>
        <b:NameList>
          <b:Person>
            <b:Last>Sims</b:Last>
            <b:First>C. A.</b:First>
          </b:Person>
        </b:NameList>
      </b:Author>
    </b:Author>
    <b:Title>Macroeconomics and reality,</b:Title>
    <b:Year>1980</b:Year>
    <b:RefOrder>1</b:RefOrder>
    <b:Volume>48</b:Volume>
    <b:Issue>1</b:Issue>
    <b:Pages>1-48</b:Pages>
  </b:Source>
  <b:Source>
    <b:Tag>Ltk05</b:Tag>
    <b:SourceType>Book</b:SourceType>
    <b:Guid>{40D2D463-E584-4DC2-9C8B-586D8CBD7FEF}</b:Guid>
    <b:Author>
      <b:Author>
        <b:NameList>
          <b:Person>
            <b:Last>Lütkepohl</b:Last>
            <b:First>H.</b:First>
          </b:Person>
        </b:NameList>
      </b:Author>
    </b:Author>
    <b:Title>New Introduction to Multiple Time Series Analysis</b:Title>
    <b:Year>2005</b:Year>
    <b:RefOrder>2</b:RefOrder>
    <b:Publisher>Springer</b:Publisher>
  </b:Source>
  <b:Source>
    <b:Tag>Tib96</b:Tag>
    <b:SourceType>JournalArticle</b:SourceType>
    <b:Guid>{A93A051D-D604-485E-B5B5-6522A20F386D}</b:Guid>
    <b:Author>
      <b:Author>
        <b:NameList>
          <b:Person>
            <b:Last>Tibshirani</b:Last>
            <b:First>R.</b:First>
          </b:Person>
        </b:NameList>
      </b:Author>
    </b:Author>
    <b:Title>Regression shrinkage and selection via the lasso,</b:Title>
    <b:Year>1996</b:Year>
    <b:RefOrder>3</b:RefOrder>
    <b:Volume>58</b:Volume>
    <b:Issue>1</b:Issue>
    <b:Pages>267-288</b:Pages>
  </b:Source>
  <b:Source>
    <b:Tag>Bie17</b:Tag>
    <b:SourceType>JournalArticle</b:SourceType>
    <b:Guid>{9680D0AD-6715-4326-A62C-28A6BF72B52F}</b:Guid>
    <b:Author>
      <b:Author>
        <b:NameList>
          <b:Person>
            <b:Last>Nicholson</b:Last>
            <b:First>W. B.</b:First>
          </b:Person>
          <b:Person>
            <b:Last>Matteson</b:Last>
            <b:First>D. S.</b:First>
          </b:Person>
          <b:Person>
            <b:Last>Bien</b:Last>
            <b:First>J.</b:First>
          </b:Person>
        </b:NameList>
      </b:Author>
    </b:Author>
    <b:Title>VARX-L: Structured regularization for large vector autoregressions with exogenous variables,</b:Title>
    <b:Year>2017</b:Year>
    <b:RefOrder>4</b:RefOrder>
    <b:Volume>33</b:Volume>
    <b:Issue>3</b:Issue>
    <b:Pages>627-651</b:Pages>
  </b:Source>
  <b:Source>
    <b:Tag>Kut16</b:Tag>
    <b:SourceType>JournalArticle</b:SourceType>
    <b:Guid>{03991343-E3C9-4EAB-AD2D-ED2339CBACE8}</b:Guid>
    <b:Author>
      <b:Author>
        <b:NameList>
          <b:Person>
            <b:Last>Brunton</b:Last>
            <b:First>S. L.</b:First>
          </b:Person>
          <b:Person>
            <b:Last>Proctor</b:Last>
            <b:First>J. L.</b:First>
          </b:Person>
          <b:Person>
            <b:Last>Kutz</b:Last>
            <b:First>J. N.</b:First>
          </b:Person>
        </b:NameList>
      </b:Author>
    </b:Author>
    <b:Title>Discovering governing equations from data by sparse identification of nonlinear dynamical systems,</b:Title>
    <b:Year>2016</b:Year>
    <b:RefOrder>5</b:RefOrder>
    <b:Volume>113</b:Volume>
    <b:Issue>15</b:Issue>
    <b:Pages>3932-3937</b:Pages>
  </b:Source>
  <b:Source>
    <b:Tag>Kut20</b:Tag>
    <b:SourceType>Book</b:SourceType>
    <b:Guid>{44DB6640-3FCA-4ACD-8890-0268F1A064DC}</b:Guid>
    <b:Author>
      <b:Author>
        <b:NameList>
          <b:Person>
            <b:Last>Champion</b:Last>
            <b:First>K.</b:First>
          </b:Person>
          <b:Person>
            <b:Last>Zheng</b:Last>
            <b:First>P.</b:First>
          </b:Person>
          <b:Person>
            <b:Last>Aravkin</b:Last>
            <b:First>A. Y.</b:First>
          </b:Person>
          <b:Person>
            <b:Last>Brunton</b:Last>
            <b:First>S. L.</b:First>
          </b:Person>
          <b:Person>
            <b:Last>Kutz</b:Last>
            <b:First>J. N.</b:First>
          </b:Person>
        </b:NameList>
      </b:Author>
    </b:Author>
    <b:Title>A unified sparse optimization framework to learn parsimonious physics-informed models from data,</b:Title>
    <b:Year>2020</b:Year>
    <b:RefOrder>6</b:RefOrder>
    <b:Volume>8</b:Volume>
    <b:Pages>169259-169271</b:Pages>
    <b:Publisher>IEEE</b:Publisher>
  </b:Source>
  <b:Source>
    <b:Tag>Haw71</b:Tag>
    <b:SourceType>JournalArticle</b:SourceType>
    <b:Guid>{061AF03D-25E8-4852-9175-40972E2B3C84}</b:Guid>
    <b:Author>
      <b:Author>
        <b:NameList>
          <b:Person>
            <b:Last>Hawkes</b:Last>
            <b:First>A. G.</b:First>
          </b:Person>
        </b:NameList>
      </b:Author>
    </b:Author>
    <b:Title>Spectra of some self-exciting and mutually exciting point processes,</b:Title>
    <b:Year>1971</b:Year>
    <b:RefOrder>7</b:RefOrder>
    <b:Volume>58</b:Volume>
    <b:Issue>1</b:Issue>
    <b:Pages>83-90</b:Pages>
  </b:Source>
  <b:Source>
    <b:Tag>Jan20</b:Tag>
    <b:SourceType>JournalArticle</b:SourceType>
    <b:Guid>{C8698751-1993-4019-9103-087516DB6674}</b:Guid>
    <b:Author>
      <b:Author>
        <b:NameList>
          <b:Person>
            <b:Last>Salinas</b:Last>
            <b:First>D.</b:First>
          </b:Person>
          <b:Person>
            <b:Last>Flunkert</b:Last>
            <b:First>V.</b:First>
          </b:Person>
          <b:Person>
            <b:Last>Gasthaus</b:Last>
            <b:First>J.</b:First>
          </b:Person>
          <b:Person>
            <b:Last>Januschowski</b:Last>
            <b:First>T.</b:First>
          </b:Person>
        </b:NameList>
      </b:Author>
    </b:Author>
    <b:Title>DeepAR: Probabilistic forecasting with autoregressive recurrent networks,</b:Title>
    <b:Year>2020</b:Year>
    <b:RefOrder>8</b:RefOrder>
    <b:Volume>36</b:Volume>
    <b:Issue>3</b:Issue>
    <b:Pages>1181-1191</b:Pages>
  </b:Source>
  <b:Source>
    <b:Tag>Ass20</b:Tag>
    <b:SourceType>JournalArticle</b:SourceType>
    <b:Guid>{F132DD38-7624-4545-BE0A-B1CE36B1C09F}</b:Guid>
    <b:Author>
      <b:Author>
        <b:NameList>
          <b:Person>
            <b:Last>Makridakis</b:Last>
            <b:First>S.</b:First>
          </b:Person>
          <b:Person>
            <b:Last>Spiliotis</b:Last>
            <b:First>E.</b:First>
          </b:Person>
          <b:Person>
            <b:Last>Assimakopoulos</b:Last>
            <b:First>V.</b:First>
          </b:Person>
        </b:NameList>
      </b:Author>
    </b:Author>
    <b:Title>The M4 competition: 100,000 time series and 61 forecasting methods,</b:Title>
    <b:Year>2020</b:Year>
    <b:RefOrder>9</b:RefOrder>
    <b:Volume>36</b:Volume>
    <b:Issue>1</b:Issue>
    <b:Pages>54-74</b:Pages>
  </b:Source>
  <b:Source>
    <b:Tag>Lic13</b:Tag>
    <b:SourceType>JournalArticle</b:SourceType>
    <b:Guid>{C0315F0C-8216-41A1-B771-79068C3854EA}</b:Guid>
    <b:Author>
      <b:Author>
        <b:NameList>
          <b:Person>
            <b:Last>Leys</b:Last>
            <b:First>C.</b:First>
          </b:Person>
          <b:Person>
            <b:Last>Ley</b:Last>
            <b:First>C.</b:First>
          </b:Person>
          <b:Person>
            <b:Last>Klein</b:Last>
            <b:First>O.</b:First>
          </b:Person>
          <b:Person>
            <b:Last>Bernard</b:Last>
            <b:First>P.</b:First>
          </b:Person>
          <b:Person>
            <b:Last>Licata</b:Last>
            <b:First>L.</b:First>
          </b:Person>
        </b:NameList>
      </b:Author>
    </b:Author>
    <b:Title>Detecting outliers: Do not use standard deviation around the mean, use absolute deviation around the median,</b:Title>
    <b:Year>2013</b:Year>
    <b:RefOrder>10</b:RefOrder>
    <b:Volume>49</b:Volume>
    <b:Issue>4</b:Issue>
    <b:Pages>764-766</b:Pages>
  </b:Source>
  <b:Source>
    <b:Tag>Vov08</b:Tag>
    <b:SourceType>JournalArticle</b:SourceType>
    <b:Guid>{E8D3477A-E09B-4C8A-BC95-BBFE09232A9F}</b:Guid>
    <b:Author>
      <b:Author>
        <b:NameList>
          <b:Person>
            <b:Last>Shafer</b:Last>
            <b:First>G.</b:First>
          </b:Person>
          <b:Person>
            <b:Last>Vovk</b:Last>
            <b:First>V.</b:First>
          </b:Person>
        </b:NameList>
      </b:Author>
    </b:Author>
    <b:Title>A tutorial on conformal prediction,</b:Title>
    <b:Year>2008</b:Year>
    <b:RefOrder>11</b:RefOrder>
    <b:Volume>9</b:Volume>
    <b:Pages>371-421</b:Pages>
  </b:Source>
  <b:Source>
    <b:Tag>Sch21</b:Tag>
    <b:SourceType>JournalArticle</b:SourceType>
    <b:Guid>{8E8F21A1-DAEB-4EDA-8EDA-B41502879F1D}</b:Guid>
    <b:Author>
      <b:Author>
        <b:NameList>
          <b:Person>
            <b:Last>Stankeviciute</b:Last>
            <b:First>K.</b:First>
          </b:Person>
          <b:Person>
            <b:Last>Alaa</b:Last>
            <b:First>A. M.</b:First>
          </b:Person>
          <b:Person>
            <b:Last>Schaar</b:Last>
            <b:First>M. van der</b:First>
          </b:Person>
        </b:NameList>
      </b:Author>
    </b:Author>
    <b:Title>Conformal time-series forecasting,</b:Title>
    <b:Year>2021</b:Year>
    <b:RefOrder>12</b:RefOrder>
    <b:Volume>34</b:Volume>
  </b:Source>
  <b:Source>
    <b:Tag>Fra08</b:Tag>
    <b:SourceType>JournalArticle</b:SourceType>
    <b:Guid>{F5BD5E5A-98A8-4F97-B078-9F5EB9765523}</b:Guid>
    <b:Author>
      <b:Author>
        <b:NameList>
          <b:Person>
            <b:Last>Vito</b:Last>
            <b:First>S. De</b:First>
          </b:Person>
          <b:Person>
            <b:Last>Massera</b:Last>
            <b:First>E.</b:First>
          </b:Person>
          <b:Person>
            <b:Last>Piga</b:Last>
            <b:First>M.</b:First>
          </b:Person>
          <b:Person>
            <b:Last>Martinotto</b:Last>
            <b:First>L.</b:First>
          </b:Person>
          <b:Person>
            <b:Last>Francia</b:Last>
            <b:First>G. Di</b:First>
          </b:Person>
        </b:NameList>
      </b:Author>
    </b:Author>
    <b:Title>On field calibration of an electronic nose for benzene estimation in an urban pollution monitoring scenario,</b:Title>
    <b:Year>2008</b:Year>
    <b:RefOrder>13</b:RefOrder>
    <b:Volume>129</b:Volume>
    <b:Issue>2</b:Issue>
    <b:Pages>750-757</b:Pages>
  </b:Source>
  <b:Source>
    <b:Tag>Der17</b:Tag>
    <b:SourceType>JournalArticle</b:SourceType>
    <b:Guid>{B969901C-3DAB-4FC6-BEAB-54662CCF7479}</b:Guid>
    <b:Author>
      <b:Author>
        <b:NameList>
          <b:Person>
            <b:Last>Candanedo</b:Last>
            <b:First>L. M.</b:First>
          </b:Person>
          <b:Person>
            <b:Last>Feldheim</b:Last>
            <b:First>V.</b:First>
          </b:Person>
          <b:Person>
            <b:Last>Deramaix</b:Last>
            <b:First>D.</b:First>
          </b:Person>
        </b:NameList>
      </b:Author>
    </b:Author>
    <b:Title>Data driven prediction models of energy use of appliances in a low-energy house,</b:Title>
    <b:Year>2017</b:Year>
    <b:RefOrder>14</b:RefOrder>
    <b:Volume>140</b:Volume>
    <b:Pages>81-97</b:Pages>
  </b:Source>
</b:Sources>
</file>

<file path=customXml/itemProps1.xml><?xml version="1.0" encoding="utf-8"?>
<ds:datastoreItem xmlns:ds="http://schemas.openxmlformats.org/officeDocument/2006/customXml" ds:itemID="{5748CA05-5E93-E541-9291-53318EB4B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6169</Words>
  <Characters>35168</Characters>
  <Application>Microsoft Office Word</Application>
  <DocSecurity>0</DocSecurity>
  <Lines>293</Lines>
  <Paragraphs>82</Paragraphs>
  <ScaleCrop>false</ScaleCrop>
  <Company/>
  <LinksUpToDate>false</LinksUpToDate>
  <CharactersWithSpaces>41255</CharactersWithSpaces>
  <SharedDoc>false</SharedDoc>
  <HyperlinksChanged>false</HyperlinksChanged>
  <AppVersion>16.0000</AppVersion>
</Properties>
</file>

<file path=docProps/app0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6466</Words>
  <Characters>36860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Ayoub Bensakhria</cp:lastModifiedBy>
  <cp:revision>4</cp:revision>
  <dcterms:created xsi:type="dcterms:W3CDTF">2023-10-11T19:56:00Z</dcterms:created>
  <dcterms:modified xsi:type="dcterms:W3CDTF">2026-08-29T21:34:00Z</dcterms:modified>
</cp:coreProperties>
</file>