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Refunds Specification</w:t>
      </w:r>
    </w:p>
    <w:p>
      <w:pPr>
        <w:pStyle w:val="Heading2"/>
      </w:pPr>
      <w:r>
        <w:t xml:space="preserve">Approval</w:t>
      </w:r>
    </w:p>
    <w:p>
      <w:r>
        <w:t xml:space="preserve">Refunds above 500 rand require approval from a finance manager.</w:t>
      </w:r>
    </w:p>
    <w:tbl>
      <w:tr>
        <w:tc>
          <w:p>
            <w:r>
              <w:t xml:space="preserve">Amount</w:t>
            </w:r>
          </w:p>
        </w:tc>
        <w:tc>
          <w:p>
            <w:r>
              <w:t xml:space="preserve">Approver</w:t>
            </w:r>
          </w:p>
        </w:tc>
      </w:tr>
      <w:tr>
        <w:tc>
          <w:p>
            <w:r>
              <w:t xml:space="preserve">Up to 500 rand</w:t>
            </w:r>
          </w:p>
        </w:tc>
        <w:tc>
          <w:p>
            <w:r>
              <w:t xml:space="preserve">Automatic</w:t>
            </w:r>
          </w:p>
        </w:tc>
      </w:tr>
      <w:tr>
        <w:tc>
          <w:p>
            <w:r>
              <w:t xml:space="preserve">Above 500 rand</w:t>
            </w:r>
          </w:p>
        </w:tc>
        <w:tc>
          <w:p>
            <w:r>
              <w:t xml:space="preserve">Finance manager</w:t>
            </w:r>
          </w:p>
        </w:tc>
      </w:tr>
    </w:tbl>
    <w:p>
      <w:pPr>
        <w:pStyle w:val="Heading2"/>
      </w:pPr>
      <w:r>
        <w:t xml:space="preserve">Timing</w:t>
      </w:r>
    </w:p>
    <w:p>
      <w:r>
        <w:t xml:space="preserve">Approved refunds are paid back within 5 business days.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