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bulan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>dari Agustus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2018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sampai dengan Desember 2018 bertempat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Pusat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beralamat di Jl.Raya Dramaga KM.07</w:t>
      </w:r>
      <w:r w:rsidR="00B23B2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– Bogor 16680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A35C72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Default="00B717F5" w:rsidP="00A35C72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A35C72" w:rsidRPr="0077620E" w:rsidRDefault="00A35C72" w:rsidP="00A35C72">
      <w:pPr>
        <w:spacing w:after="0" w:line="360" w:lineRule="auto"/>
        <w:ind w:left="709"/>
        <w:jc w:val="center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Tabel 3.1</w:t>
      </w: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Perangkat 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Keras</w:t>
      </w:r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567"/>
        <w:gridCol w:w="2977"/>
        <w:gridCol w:w="3685"/>
      </w:tblGrid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No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Jenis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b/>
                <w:color w:val="000000" w:themeColor="text1"/>
                <w:lang w:val="id-ID"/>
              </w:rPr>
              <w:t>Spesifikasi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Laptop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Lenovo Ideapad 120s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>Processor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Intel Celeron N3350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SSD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120 GB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RAM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4096 MB</w:t>
            </w:r>
          </w:p>
        </w:tc>
      </w:tr>
      <w:tr w:rsidR="00A35C72" w:rsidTr="00A35C72">
        <w:tc>
          <w:tcPr>
            <w:tcW w:w="567" w:type="dxa"/>
          </w:tcPr>
          <w:p w:rsidR="00A35C72" w:rsidRPr="00A35C72" w:rsidRDefault="00A35C72" w:rsidP="00A35C72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977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</w:pPr>
            <w:r w:rsidRPr="00A35C72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>Printer</w:t>
            </w:r>
          </w:p>
        </w:tc>
        <w:tc>
          <w:tcPr>
            <w:tcW w:w="3685" w:type="dxa"/>
          </w:tcPr>
          <w:p w:rsidR="00A35C72" w:rsidRPr="00A35C72" w:rsidRDefault="00A35C72" w:rsidP="00A35C72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Canon MG2570</w:t>
            </w:r>
          </w:p>
        </w:tc>
      </w:tr>
    </w:tbl>
    <w:p w:rsidR="00A542EF" w:rsidRPr="00A35C72" w:rsidRDefault="00A542EF" w:rsidP="00A35C72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35C72" w:rsidRPr="00C2403A" w:rsidRDefault="00A35C72" w:rsidP="00A35C72">
      <w:pPr>
        <w:pStyle w:val="ListParagraph"/>
        <w:spacing w:after="0" w:line="360" w:lineRule="auto"/>
        <w:ind w:left="851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>Tabel 3.2</w:t>
      </w:r>
      <w:r w:rsidR="00B717F5"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Perangkat Lunak </w:t>
      </w:r>
    </w:p>
    <w:tbl>
      <w:tblPr>
        <w:tblStyle w:val="TableGrid"/>
        <w:tblW w:w="7087" w:type="dxa"/>
        <w:tblInd w:w="846" w:type="dxa"/>
        <w:tblLook w:val="04A0" w:firstRow="1" w:lastRow="0" w:firstColumn="1" w:lastColumn="0" w:noHBand="0" w:noVBand="1"/>
      </w:tblPr>
      <w:tblGrid>
        <w:gridCol w:w="704"/>
        <w:gridCol w:w="2698"/>
        <w:gridCol w:w="3685"/>
      </w:tblGrid>
      <w:tr w:rsidR="00C2403A" w:rsidRPr="0077620E" w:rsidTr="00A35C72">
        <w:trPr>
          <w:trHeight w:val="285"/>
        </w:trPr>
        <w:tc>
          <w:tcPr>
            <w:tcW w:w="704" w:type="dxa"/>
          </w:tcPr>
          <w:p w:rsidR="00C2403A" w:rsidRDefault="00A35C72" w:rsidP="00A35C72">
            <w:pPr>
              <w:pStyle w:val="SubBABnya"/>
              <w:tabs>
                <w:tab w:val="center" w:pos="147"/>
              </w:tabs>
              <w:jc w:val="left"/>
            </w:pPr>
            <w:r>
              <w:tab/>
            </w:r>
            <w:r w:rsidR="00C2403A">
              <w:t>No</w:t>
            </w:r>
          </w:p>
        </w:tc>
        <w:tc>
          <w:tcPr>
            <w:tcW w:w="2698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A35C72">
        <w:trPr>
          <w:trHeight w:val="445"/>
        </w:trPr>
        <w:tc>
          <w:tcPr>
            <w:tcW w:w="704" w:type="dxa"/>
          </w:tcPr>
          <w:p w:rsidR="00C2403A" w:rsidRDefault="00C2403A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3685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A35C72">
        <w:trPr>
          <w:trHeight w:val="409"/>
        </w:trPr>
        <w:tc>
          <w:tcPr>
            <w:tcW w:w="704" w:type="dxa"/>
          </w:tcPr>
          <w:p w:rsidR="00C2403A" w:rsidRPr="005F5873" w:rsidRDefault="00C2403A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A35C72">
        <w:trPr>
          <w:trHeight w:val="426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A35C72">
        <w:trPr>
          <w:trHeight w:val="418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A35C72">
        <w:trPr>
          <w:trHeight w:val="409"/>
        </w:trPr>
        <w:tc>
          <w:tcPr>
            <w:tcW w:w="704" w:type="dxa"/>
          </w:tcPr>
          <w:p w:rsidR="00C2403A" w:rsidRPr="005F5873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A35C72">
        <w:trPr>
          <w:trHeight w:val="415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698" w:type="dxa"/>
          </w:tcPr>
          <w:p w:rsidR="00C2403A" w:rsidRPr="00A24FC2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  <w:r w:rsidR="00A24FC2">
              <w:rPr>
                <w:b w:val="0"/>
                <w:bCs/>
                <w:i/>
                <w:lang w:val="id-ID"/>
              </w:rPr>
              <w:t xml:space="preserve"> Management</w:t>
            </w:r>
          </w:p>
        </w:tc>
        <w:tc>
          <w:tcPr>
            <w:tcW w:w="3685" w:type="dxa"/>
          </w:tcPr>
          <w:p w:rsidR="00C2403A" w:rsidRPr="00A24FC2" w:rsidRDefault="00A24FC2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MySQL</w:t>
            </w:r>
          </w:p>
          <w:p w:rsidR="00A24FC2" w:rsidRPr="00A24FC2" w:rsidRDefault="00A24FC2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Microsoft Access 2016</w:t>
            </w:r>
          </w:p>
        </w:tc>
      </w:tr>
      <w:tr w:rsidR="00C2403A" w:rsidRPr="0077620E" w:rsidTr="00A35C72">
        <w:trPr>
          <w:trHeight w:val="422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3685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A35C72">
        <w:trPr>
          <w:trHeight w:val="400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3685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A35C72">
        <w:trPr>
          <w:trHeight w:val="393"/>
        </w:trPr>
        <w:tc>
          <w:tcPr>
            <w:tcW w:w="704" w:type="dxa"/>
          </w:tcPr>
          <w:p w:rsidR="00C2403A" w:rsidRPr="006F3115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3685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A35C72">
        <w:trPr>
          <w:trHeight w:val="453"/>
        </w:trPr>
        <w:tc>
          <w:tcPr>
            <w:tcW w:w="704" w:type="dxa"/>
          </w:tcPr>
          <w:p w:rsidR="00C2403A" w:rsidRPr="00C2403A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3685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A35C72">
        <w:trPr>
          <w:trHeight w:val="403"/>
        </w:trPr>
        <w:tc>
          <w:tcPr>
            <w:tcW w:w="704" w:type="dxa"/>
          </w:tcPr>
          <w:p w:rsidR="00C2403A" w:rsidRPr="00C2403A" w:rsidRDefault="00373CDE" w:rsidP="00A35C72">
            <w:pPr>
              <w:pStyle w:val="SubBABnya"/>
              <w:spacing w:line="240" w:lineRule="auto"/>
              <w:jc w:val="center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698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3685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</w:t>
      </w:r>
      <w:r w:rsidR="003D67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A35C72" w:rsidRDefault="00A35C72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A35C72">
        <w:rPr>
          <w:rFonts w:asciiTheme="majorBidi" w:hAnsiTheme="majorBidi" w:cstheme="majorBidi"/>
          <w:b/>
          <w:color w:val="000000"/>
          <w:sz w:val="24"/>
          <w:szCs w:val="24"/>
        </w:rPr>
        <w:t>Metod</w:t>
      </w:r>
      <w:r w:rsidR="00A24FC2">
        <w:rPr>
          <w:rFonts w:asciiTheme="majorBidi" w:hAnsiTheme="majorBidi" w:cstheme="majorBidi"/>
          <w:b/>
          <w:color w:val="000000"/>
          <w:sz w:val="24"/>
          <w:szCs w:val="24"/>
        </w:rPr>
        <w:t>e Pengembangan Sistem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A24FC2">
        <w:rPr>
          <w:rStyle w:val="fontstyle01"/>
        </w:rPr>
        <w:t>Metode</w:t>
      </w:r>
      <w:r w:rsidR="00A35C72">
        <w:rPr>
          <w:rStyle w:val="fontstyle01"/>
        </w:rPr>
        <w:t xml:space="preserve"> pengembangan sistem yang digunakan adalah</w:t>
      </w:r>
      <w:r w:rsidR="0065422C">
        <w:rPr>
          <w:rStyle w:val="fontstyle01"/>
        </w:rPr>
        <w:t xml:space="preserve">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 xml:space="preserve">Berikut metode </w:t>
      </w:r>
      <w:r w:rsidR="00A24FC2">
        <w:rPr>
          <w:rStyle w:val="fontstyle01"/>
        </w:rPr>
        <w:t>pengembangan sistem yang diterapkan pada penelitian</w:t>
      </w:r>
      <w:r w:rsidR="0065422C">
        <w:rPr>
          <w:rStyle w:val="fontstyle01"/>
        </w:rPr>
        <w:t xml:space="preserve">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A24FC2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79.75pt" o:ole="">
            <v:imagedata r:id="rId7" o:title=""/>
          </v:shape>
          <o:OLEObject Type="Embed" ProgID="Visio.Drawing.15" ShapeID="_x0000_i1025" DrawAspect="Content" ObjectID="_1610851349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Gambar 3.1 Penjabaran Metode </w:t>
      </w:r>
      <w:r w:rsidR="00A24FC2">
        <w:rPr>
          <w:rFonts w:asciiTheme="majorBidi" w:hAnsiTheme="majorBidi" w:cstheme="majorBidi"/>
          <w:b/>
          <w:color w:val="000000"/>
          <w:sz w:val="24"/>
          <w:szCs w:val="24"/>
        </w:rPr>
        <w:t>Pengembangan Sistem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Pr="003D673A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3D673A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Diagram, Entity Relationship Diagram </w:t>
      </w:r>
      <w:r w:rsidR="003D673A">
        <w:rPr>
          <w:rFonts w:asciiTheme="majorBidi" w:hAnsiTheme="majorBidi" w:cstheme="majorBidi"/>
          <w:color w:val="000000"/>
          <w:sz w:val="24"/>
          <w:szCs w:val="24"/>
        </w:rPr>
        <w:t xml:space="preserve">dan perancangan Desain </w:t>
      </w:r>
      <w:r w:rsidR="003D673A">
        <w:rPr>
          <w:rFonts w:asciiTheme="majorBidi" w:hAnsiTheme="majorBidi" w:cstheme="majorBidi"/>
          <w:i/>
          <w:color w:val="000000"/>
          <w:sz w:val="24"/>
          <w:szCs w:val="24"/>
        </w:rPr>
        <w:t>Interface.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  <w:r w:rsidR="00D306D6">
        <w:rPr>
          <w:rStyle w:val="fontstyle01"/>
        </w:rPr>
        <w:t>.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(tidak serentak), contoh :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pada minggu pertama lalu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</w:t>
      </w:r>
      <w:r w:rsidRPr="00D306D6">
        <w:rPr>
          <w:rFonts w:ascii="Times New Roman" w:hAnsi="Times New Roman" w:cs="Times New Roman"/>
          <w:i/>
          <w:sz w:val="24"/>
        </w:rPr>
        <w:t>akhwat</w:t>
      </w:r>
      <w:r w:rsidRPr="002964E3">
        <w:rPr>
          <w:rFonts w:ascii="Times New Roman" w:hAnsi="Times New Roman" w:cs="Times New Roman"/>
          <w:sz w:val="24"/>
        </w:rPr>
        <w:t xml:space="preserve">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D306D6" w:rsidRDefault="00D306D6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3.1</m:t>
              </m:r>
            </m:e>
          </m:d>
        </m:oMath>
      </m:oMathPara>
    </w:p>
    <w:p w:rsidR="003C2A48" w:rsidRDefault="003C2A48" w:rsidP="00D306D6">
      <w:pPr>
        <w:pStyle w:val="ListParagraph"/>
        <w:spacing w:line="360" w:lineRule="auto"/>
        <w:ind w:left="851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D306D6">
      <w:pPr>
        <w:pStyle w:val="ListParagraph"/>
        <w:spacing w:line="360" w:lineRule="auto"/>
        <w:ind w:left="1276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D306D6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0C2AE8" w:rsidRPr="00D306D6" w:rsidRDefault="00BD2ED9" w:rsidP="00D306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D306D6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D306D6">
        <w:rPr>
          <w:rFonts w:ascii="Times New Roman" w:hAnsi="Times New Roman" w:cs="Times New Roman"/>
          <w:sz w:val="24"/>
        </w:rPr>
        <w:t xml:space="preserve">dan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</w:t>
      </w:r>
      <w:r w:rsidR="00850945" w:rsidRPr="00D306D6">
        <w:rPr>
          <w:rFonts w:ascii="Times New Roman" w:hAnsi="Times New Roman" w:cs="Times New Roman"/>
          <w:i/>
          <w:sz w:val="24"/>
          <w:lang w:val="en-ID"/>
        </w:rPr>
        <w:t>akhwat</w:t>
      </w:r>
      <w:r w:rsidR="00850945" w:rsidRPr="002964E3">
        <w:rPr>
          <w:rFonts w:ascii="Times New Roman" w:hAnsi="Times New Roman" w:cs="Times New Roman"/>
          <w:sz w:val="24"/>
          <w:lang w:val="en-ID"/>
        </w:rPr>
        <w:t>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850945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                                                                 (3.2)</m:t>
          </m:r>
        </m:oMath>
      </m:oMathPara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D306D6" w:rsidRDefault="00850945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D306D6">
        <w:rPr>
          <w:rFonts w:ascii="Times New Roman" w:hAnsi="Times New Roman" w:cs="Times New Roman"/>
          <w:sz w:val="24"/>
        </w:rPr>
        <w:t>, maka</w:t>
      </w:r>
    </w:p>
    <w:p w:rsidR="00D306D6" w:rsidRPr="00A35C72" w:rsidRDefault="00D306D6" w:rsidP="00A35C7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970ECC" w:rsidRPr="00D306D6" w:rsidRDefault="00DA7775" w:rsidP="00D306D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Pr="00D306D6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3.3</m:t>
              </m:r>
            </m:e>
          </m:d>
        </m:oMath>
      </m:oMathPara>
    </w:p>
    <w:p w:rsidR="00D306D6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D306D6">
      <w:pPr>
        <w:pStyle w:val="ListParagraph"/>
        <w:spacing w:line="360" w:lineRule="auto"/>
        <w:ind w:firstLine="13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</w:t>
      </w:r>
      <w:r w:rsidR="000C2AE8">
        <w:rPr>
          <w:rFonts w:ascii="Times New Roman" w:hAnsi="Times New Roman" w:cs="Times New Roman"/>
          <w:sz w:val="24"/>
        </w:rPr>
        <w:lastRenderedPageBreak/>
        <w:t>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  <w:r w:rsidR="006911A5">
        <w:rPr>
          <w:rFonts w:ascii="Times New Roman" w:hAnsi="Times New Roman" w:cs="Times New Roman"/>
          <w:b/>
          <w:sz w:val="24"/>
        </w:rPr>
        <w:t>Nilai Total Presensi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sectPr w:rsidR="00970ECC" w:rsidRPr="00970ECC" w:rsidSect="00976AD8">
      <w:footerReference w:type="default" r:id="rId9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57C" w:rsidRDefault="0000357C" w:rsidP="00292EFE">
      <w:pPr>
        <w:spacing w:after="0" w:line="240" w:lineRule="auto"/>
      </w:pPr>
      <w:r>
        <w:separator/>
      </w:r>
    </w:p>
  </w:endnote>
  <w:endnote w:type="continuationSeparator" w:id="0">
    <w:p w:rsidR="0000357C" w:rsidRDefault="0000357C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AC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57C" w:rsidRDefault="0000357C" w:rsidP="00292EFE">
      <w:pPr>
        <w:spacing w:after="0" w:line="240" w:lineRule="auto"/>
      </w:pPr>
      <w:r>
        <w:separator/>
      </w:r>
    </w:p>
  </w:footnote>
  <w:footnote w:type="continuationSeparator" w:id="0">
    <w:p w:rsidR="0000357C" w:rsidRDefault="0000357C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357C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1ECC"/>
    <w:rsid w:val="0031461F"/>
    <w:rsid w:val="00373CDE"/>
    <w:rsid w:val="0039202E"/>
    <w:rsid w:val="003A6A03"/>
    <w:rsid w:val="003C2A48"/>
    <w:rsid w:val="003D673A"/>
    <w:rsid w:val="003E4FB1"/>
    <w:rsid w:val="003F7159"/>
    <w:rsid w:val="00415FFE"/>
    <w:rsid w:val="00417312"/>
    <w:rsid w:val="00462D85"/>
    <w:rsid w:val="004B342E"/>
    <w:rsid w:val="004D3272"/>
    <w:rsid w:val="004E16C3"/>
    <w:rsid w:val="00504BA2"/>
    <w:rsid w:val="005652F7"/>
    <w:rsid w:val="00640D5F"/>
    <w:rsid w:val="0065184C"/>
    <w:rsid w:val="0065422C"/>
    <w:rsid w:val="00682236"/>
    <w:rsid w:val="00685C8F"/>
    <w:rsid w:val="00687D10"/>
    <w:rsid w:val="006911A5"/>
    <w:rsid w:val="006D245D"/>
    <w:rsid w:val="006E7C89"/>
    <w:rsid w:val="00714ACB"/>
    <w:rsid w:val="00731C7B"/>
    <w:rsid w:val="00735A15"/>
    <w:rsid w:val="007B2BE0"/>
    <w:rsid w:val="007D78C3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976AD8"/>
    <w:rsid w:val="00A05DB8"/>
    <w:rsid w:val="00A24FC2"/>
    <w:rsid w:val="00A26971"/>
    <w:rsid w:val="00A26FAC"/>
    <w:rsid w:val="00A35C72"/>
    <w:rsid w:val="00A5228B"/>
    <w:rsid w:val="00A542EF"/>
    <w:rsid w:val="00A55F2F"/>
    <w:rsid w:val="00A56C1D"/>
    <w:rsid w:val="00A629BA"/>
    <w:rsid w:val="00A70AFB"/>
    <w:rsid w:val="00A801E5"/>
    <w:rsid w:val="00A943A6"/>
    <w:rsid w:val="00B20655"/>
    <w:rsid w:val="00B231E7"/>
    <w:rsid w:val="00B23B22"/>
    <w:rsid w:val="00B55962"/>
    <w:rsid w:val="00B70777"/>
    <w:rsid w:val="00B717F5"/>
    <w:rsid w:val="00B73DE4"/>
    <w:rsid w:val="00BA36EA"/>
    <w:rsid w:val="00BC2362"/>
    <w:rsid w:val="00BC2B4B"/>
    <w:rsid w:val="00BD2ED9"/>
    <w:rsid w:val="00C02C90"/>
    <w:rsid w:val="00C0547E"/>
    <w:rsid w:val="00C2403A"/>
    <w:rsid w:val="00C32C9C"/>
    <w:rsid w:val="00C37F81"/>
    <w:rsid w:val="00CE0B9D"/>
    <w:rsid w:val="00CE5126"/>
    <w:rsid w:val="00CF499D"/>
    <w:rsid w:val="00D215A3"/>
    <w:rsid w:val="00D306D6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66442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68</cp:revision>
  <cp:lastPrinted>2019-01-18T07:59:00Z</cp:lastPrinted>
  <dcterms:created xsi:type="dcterms:W3CDTF">2017-01-12T01:50:00Z</dcterms:created>
  <dcterms:modified xsi:type="dcterms:W3CDTF">2019-02-04T22:50:00Z</dcterms:modified>
</cp:coreProperties>
</file>