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758D" w14:textId="778D7C19" w:rsidR="001868C9" w:rsidRDefault="00047695" w:rsidP="00047695">
      <w:pPr>
        <w:pStyle w:val="Ttulo1"/>
        <w:rPr>
          <w:rFonts w:ascii="Arial" w:hAnsi="Arial" w:cs="Arial"/>
          <w:b/>
          <w:bCs/>
        </w:rPr>
      </w:pPr>
      <w:r w:rsidRPr="00047695">
        <w:rPr>
          <w:rFonts w:ascii="Arial" w:hAnsi="Arial" w:cs="Arial"/>
          <w:b/>
          <w:bCs/>
        </w:rPr>
        <w:t>Proveedores de Nube: AWS, Azure y GCP</w:t>
      </w:r>
    </w:p>
    <w:p w14:paraId="2873F74F" w14:textId="77777777" w:rsidR="00D04C89" w:rsidRDefault="00047695" w:rsidP="00047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</w:t>
      </w:r>
      <w:r w:rsidRPr="00047695">
        <w:rPr>
          <w:rFonts w:ascii="Arial" w:hAnsi="Arial" w:cs="Arial"/>
          <w:sz w:val="24"/>
          <w:szCs w:val="24"/>
        </w:rPr>
        <w:t xml:space="preserve"> actual</w:t>
      </w:r>
      <w:r>
        <w:rPr>
          <w:rFonts w:ascii="Arial" w:hAnsi="Arial" w:cs="Arial"/>
          <w:sz w:val="24"/>
          <w:szCs w:val="24"/>
        </w:rPr>
        <w:t>idad</w:t>
      </w:r>
      <w:r w:rsidRPr="00047695">
        <w:rPr>
          <w:rFonts w:ascii="Arial" w:hAnsi="Arial" w:cs="Arial"/>
          <w:sz w:val="24"/>
          <w:szCs w:val="24"/>
        </w:rPr>
        <w:t>, la adopción de servicios en la nube se ha vuelto esencial para empresas de todos los tamaños. Entre los numerosos proveedores de servicios en la nube</w:t>
      </w:r>
      <w:r>
        <w:rPr>
          <w:rFonts w:ascii="Arial" w:hAnsi="Arial" w:cs="Arial"/>
          <w:sz w:val="24"/>
          <w:szCs w:val="24"/>
        </w:rPr>
        <w:t xml:space="preserve"> como </w:t>
      </w:r>
      <w:r w:rsidRPr="00047695">
        <w:rPr>
          <w:rFonts w:ascii="Arial" w:hAnsi="Arial" w:cs="Arial"/>
          <w:sz w:val="24"/>
          <w:szCs w:val="24"/>
        </w:rPr>
        <w:t xml:space="preserve">Amazon Web Services (AWS), Microsoft Azure y Google Cloud Platform (GCP) </w:t>
      </w:r>
      <w:r>
        <w:rPr>
          <w:rFonts w:ascii="Arial" w:hAnsi="Arial" w:cs="Arial"/>
          <w:sz w:val="24"/>
          <w:szCs w:val="24"/>
        </w:rPr>
        <w:t>son de las más populares</w:t>
      </w:r>
      <w:r w:rsidRPr="00047695">
        <w:rPr>
          <w:rFonts w:ascii="Arial" w:hAnsi="Arial" w:cs="Arial"/>
          <w:sz w:val="24"/>
          <w:szCs w:val="24"/>
        </w:rPr>
        <w:t xml:space="preserve">. Esta investigación de mercado se </w:t>
      </w:r>
      <w:r>
        <w:rPr>
          <w:rFonts w:ascii="Arial" w:hAnsi="Arial" w:cs="Arial"/>
          <w:sz w:val="24"/>
          <w:szCs w:val="24"/>
        </w:rPr>
        <w:t xml:space="preserve">centra </w:t>
      </w:r>
      <w:r w:rsidRPr="00047695">
        <w:rPr>
          <w:rFonts w:ascii="Arial" w:hAnsi="Arial" w:cs="Arial"/>
          <w:sz w:val="24"/>
          <w:szCs w:val="24"/>
        </w:rPr>
        <w:t xml:space="preserve">en las ofertas clave de estos gigantes tecnológicos, explorando servicios de computación, almacenamiento, bases de datos, inteligencia artificial, contenedores, y más. A través de este análisis, buscamos proporcionar una visión detallada que permita a las organizaciones tomar decisiones informadas al elegir el proveedor de nube más adecuado para sus necesidades específicas. Desde costos hasta seguridad, </w:t>
      </w:r>
    </w:p>
    <w:p w14:paraId="437C7829" w14:textId="738A7A79" w:rsidR="00047695" w:rsidRDefault="00D04C89" w:rsidP="000476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muestran </w:t>
      </w:r>
      <w:r w:rsidR="00047695" w:rsidRPr="00047695">
        <w:rPr>
          <w:rFonts w:ascii="Arial" w:hAnsi="Arial" w:cs="Arial"/>
          <w:sz w:val="24"/>
          <w:szCs w:val="24"/>
        </w:rPr>
        <w:t>diversos aspectos para ofrecer una perspectiva completa de las capacidades de AWS, Azure y GCP.</w:t>
      </w:r>
    </w:p>
    <w:p w14:paraId="27AD5CBC" w14:textId="3AF9AFFD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Servicios de Computación:</w:t>
      </w:r>
    </w:p>
    <w:p w14:paraId="40CB6ADE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ofrece instancias EC2 (Elastic Compute Cloud).</w:t>
      </w:r>
    </w:p>
    <w:p w14:paraId="56CFA6EE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proporciona máquinas virtuales.</w:t>
      </w:r>
    </w:p>
    <w:p w14:paraId="7743E1F5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ofrece máquinas virtuales de Google Compute Engine.</w:t>
      </w:r>
    </w:p>
    <w:p w14:paraId="02406A9F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Almacenamiento:</w:t>
      </w:r>
    </w:p>
    <w:p w14:paraId="4993D95B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tiene Amazon S3 para almacenamiento de objetos.</w:t>
      </w:r>
    </w:p>
    <w:p w14:paraId="48064FA6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proporciona Azure Blob Storage.</w:t>
      </w:r>
    </w:p>
    <w:p w14:paraId="352A7A1B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ofrece Google Cloud Storage.</w:t>
      </w:r>
    </w:p>
    <w:p w14:paraId="399B3FBE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Bases de Datos:</w:t>
      </w:r>
    </w:p>
    <w:p w14:paraId="71577866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tiene Amazon RDS para bases de datos relacionales.</w:t>
      </w:r>
    </w:p>
    <w:p w14:paraId="43B2D7BE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ofrece Azure SQL Database.</w:t>
      </w:r>
    </w:p>
    <w:p w14:paraId="3F0B6313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proporciona Cloud SQL.</w:t>
      </w:r>
    </w:p>
    <w:p w14:paraId="32E49B95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Redes:</w:t>
      </w:r>
    </w:p>
    <w:p w14:paraId="0D74EBB9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tiene Amazon VPC para la creación de redes privadas virtuales.</w:t>
      </w:r>
    </w:p>
    <w:p w14:paraId="5983C5FD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ofrece Azure Virtual Network.</w:t>
      </w:r>
    </w:p>
    <w:p w14:paraId="2F4F5413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proporciona Google Virtual Private Cloud (VPC).</w:t>
      </w:r>
    </w:p>
    <w:p w14:paraId="3CB57650" w14:textId="77777777" w:rsidR="00664CBA" w:rsidRDefault="00664CBA" w:rsidP="00664CBA">
      <w:pPr>
        <w:rPr>
          <w:rFonts w:ascii="Arial" w:hAnsi="Arial" w:cs="Arial"/>
          <w:sz w:val="24"/>
          <w:szCs w:val="24"/>
        </w:rPr>
      </w:pPr>
    </w:p>
    <w:p w14:paraId="4C047C75" w14:textId="77777777" w:rsidR="00664CBA" w:rsidRDefault="00664CBA" w:rsidP="00664CBA">
      <w:pPr>
        <w:rPr>
          <w:rFonts w:ascii="Arial" w:hAnsi="Arial" w:cs="Arial"/>
          <w:sz w:val="24"/>
          <w:szCs w:val="24"/>
        </w:rPr>
      </w:pPr>
    </w:p>
    <w:p w14:paraId="7A5F3C09" w14:textId="77777777" w:rsidR="00664CBA" w:rsidRDefault="00664CBA" w:rsidP="00664CBA">
      <w:pPr>
        <w:rPr>
          <w:rFonts w:ascii="Arial" w:hAnsi="Arial" w:cs="Arial"/>
          <w:sz w:val="24"/>
          <w:szCs w:val="24"/>
        </w:rPr>
      </w:pPr>
    </w:p>
    <w:p w14:paraId="11593C97" w14:textId="63276BCB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Servicios de IA y Machine Learning</w:t>
      </w:r>
      <w:r w:rsidRPr="00664CBA">
        <w:rPr>
          <w:rFonts w:ascii="Arial" w:hAnsi="Arial" w:cs="Arial"/>
          <w:sz w:val="24"/>
          <w:szCs w:val="24"/>
        </w:rPr>
        <w:t>:</w:t>
      </w:r>
    </w:p>
    <w:p w14:paraId="79811186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cuenta con Amazon SageMaker.</w:t>
      </w:r>
    </w:p>
    <w:p w14:paraId="678A2D20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ofrece Azure Machine Learning.</w:t>
      </w:r>
    </w:p>
    <w:p w14:paraId="3AF210BF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proporciona Google AI Platform.</w:t>
      </w:r>
    </w:p>
    <w:p w14:paraId="73794D58" w14:textId="77777777" w:rsidR="00664CBA" w:rsidRP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Servicios de Contenedores:</w:t>
      </w:r>
    </w:p>
    <w:p w14:paraId="00859D7A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AWS tiene Amazon ECS y Amazon EKS.</w:t>
      </w:r>
    </w:p>
    <w:p w14:paraId="20F714C2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Azure cuenta con Azure Kubernetes Service (AKS).</w:t>
      </w:r>
    </w:p>
    <w:p w14:paraId="41E41C3C" w14:textId="77777777" w:rsidR="00664CBA" w:rsidRPr="00664CBA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sz w:val="24"/>
          <w:szCs w:val="24"/>
        </w:rPr>
        <w:t>GCP ofrece Google Kubernetes Engine (GKE).</w:t>
      </w:r>
    </w:p>
    <w:p w14:paraId="671C1342" w14:textId="77777777" w:rsid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Costos y Modelo de Precios:</w:t>
      </w:r>
    </w:p>
    <w:p w14:paraId="0E64C3E7" w14:textId="514C65A0" w:rsidR="000D75EC" w:rsidRDefault="000D75EC" w:rsidP="00664CBA">
      <w:p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Los costos y modelos de precios de los proveedores de nube pueden ser bastante complejos debido a la variedad de servicios ofrecidos y las diferentes estructuras de precios.</w:t>
      </w:r>
    </w:p>
    <w:p w14:paraId="041D98AB" w14:textId="1F6AE1A3" w:rsidR="000D75EC" w:rsidRDefault="000D75EC" w:rsidP="00664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 </w:t>
      </w:r>
      <w:r w:rsidRPr="000D75EC">
        <w:rPr>
          <w:rFonts w:ascii="Arial" w:hAnsi="Arial" w:cs="Arial"/>
          <w:sz w:val="24"/>
          <w:szCs w:val="24"/>
        </w:rPr>
        <w:t>un resumen general de los modelos de precios de AWS, Azure y GCP:</w:t>
      </w:r>
    </w:p>
    <w:p w14:paraId="5E830551" w14:textId="0583EC16" w:rsidR="000D75EC" w:rsidRPr="000D75EC" w:rsidRDefault="000D75EC" w:rsidP="000D75EC">
      <w:pPr>
        <w:rPr>
          <w:rFonts w:ascii="Arial" w:hAnsi="Arial" w:cs="Arial"/>
          <w:b/>
          <w:bCs/>
          <w:sz w:val="24"/>
          <w:szCs w:val="24"/>
        </w:rPr>
      </w:pPr>
      <w:r w:rsidRPr="000D75EC">
        <w:rPr>
          <w:rFonts w:ascii="Arial" w:hAnsi="Arial" w:cs="Arial"/>
          <w:b/>
          <w:bCs/>
          <w:sz w:val="24"/>
          <w:szCs w:val="24"/>
        </w:rPr>
        <w:t>Amazon Web Services (AWS):</w:t>
      </w:r>
    </w:p>
    <w:p w14:paraId="636FE74A" w14:textId="77777777" w:rsidR="000D75EC" w:rsidRPr="000D75EC" w:rsidRDefault="000D75EC" w:rsidP="000D75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AWS utiliza un modelo de precios basado en el pago por uso, lo que significa que los clientes pagan solo por los recursos que consumen.</w:t>
      </w:r>
    </w:p>
    <w:p w14:paraId="5708ED2E" w14:textId="77777777" w:rsidR="000D75EC" w:rsidRPr="000D75EC" w:rsidRDefault="000D75EC" w:rsidP="000D75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Ofrece una variedad de opciones de precios, que incluyen por hora, por segundo, por uso bajo demanda, reservado y spot instances.</w:t>
      </w:r>
    </w:p>
    <w:p w14:paraId="0C7FDBC0" w14:textId="77777777" w:rsidR="000D75EC" w:rsidRPr="000D75EC" w:rsidRDefault="000D75EC" w:rsidP="000D75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AWS también ofrece un modelo de precios basado en capas para muchos de sus servicios, lo que significa que el costo por unidad disminuye a medida que se consume más.</w:t>
      </w:r>
    </w:p>
    <w:p w14:paraId="201E06A8" w14:textId="77777777" w:rsidR="000D75EC" w:rsidRPr="000D75EC" w:rsidRDefault="000D75EC" w:rsidP="000D75E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Los clientes pueden estimar sus costos utilizando la calculadora de precios de AWS y pueden ahorrar dinero a través de descuentos por compromisos a largo plazo, como instancias reservadas y ahorro con instancias de spot.</w:t>
      </w:r>
    </w:p>
    <w:p w14:paraId="1AEC9B0C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10B014B0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4CE7865E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3F0BCEFC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696F4B67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10B1A99B" w14:textId="77777777" w:rsidR="000D75EC" w:rsidRP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5FEAEAAA" w14:textId="77777777" w:rsidR="000D75EC" w:rsidRDefault="000D75EC" w:rsidP="000D75EC">
      <w:pPr>
        <w:rPr>
          <w:rFonts w:ascii="Arial" w:hAnsi="Arial" w:cs="Arial"/>
          <w:b/>
          <w:bCs/>
          <w:sz w:val="24"/>
          <w:szCs w:val="24"/>
        </w:rPr>
      </w:pPr>
    </w:p>
    <w:p w14:paraId="72FB24B5" w14:textId="2A9CE431" w:rsidR="000D75EC" w:rsidRPr="000D75EC" w:rsidRDefault="000D75EC" w:rsidP="000D75EC">
      <w:pPr>
        <w:rPr>
          <w:rFonts w:ascii="Arial" w:hAnsi="Arial" w:cs="Arial"/>
          <w:b/>
          <w:bCs/>
          <w:sz w:val="24"/>
          <w:szCs w:val="24"/>
        </w:rPr>
      </w:pPr>
      <w:r w:rsidRPr="000D75EC">
        <w:rPr>
          <w:rFonts w:ascii="Arial" w:hAnsi="Arial" w:cs="Arial"/>
          <w:b/>
          <w:bCs/>
          <w:sz w:val="24"/>
          <w:szCs w:val="24"/>
        </w:rPr>
        <w:lastRenderedPageBreak/>
        <w:t>Microsoft Azure:</w:t>
      </w:r>
    </w:p>
    <w:p w14:paraId="27BC207A" w14:textId="77777777" w:rsidR="000D75EC" w:rsidRPr="000D75EC" w:rsidRDefault="000D75EC" w:rsidP="000D75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Azure también utiliza un modelo de precios basado en el pago por uso, donde los clientes pagan solo por los recursos que consumen.</w:t>
      </w:r>
    </w:p>
    <w:p w14:paraId="7736B15F" w14:textId="77777777" w:rsidR="000D75EC" w:rsidRPr="000D75EC" w:rsidRDefault="000D75EC" w:rsidP="000D75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Ofrece una variedad de opciones de precios, que incluyen por hora o por segundo para máquinas virtuales, y tarifas específicas para servicios como almacenamiento, bases de datos y redes.</w:t>
      </w:r>
    </w:p>
    <w:p w14:paraId="083F8D8A" w14:textId="77777777" w:rsidR="000D75EC" w:rsidRPr="000D75EC" w:rsidRDefault="000D75EC" w:rsidP="000D75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Azure ofrece descuentos por compromisos a largo plazo a través de opciones como instancias reservadas y descuentos por uso híbrido para clientes que ejecutan cargas de trabajo en sus propios centros de datos y en Azure.</w:t>
      </w:r>
    </w:p>
    <w:p w14:paraId="09259CB6" w14:textId="77777777" w:rsidR="000D75EC" w:rsidRPr="000D75EC" w:rsidRDefault="000D75EC" w:rsidP="000D75E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Los clientes pueden utilizar la calculadora de precios de Azure para estimar sus costos y administrar su presupuesto utilizando herramientas como presupuestos y alertas de gastos.</w:t>
      </w:r>
    </w:p>
    <w:p w14:paraId="7EDD25FF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3D97B24C" w14:textId="0507AED0" w:rsidR="000D75EC" w:rsidRPr="000D75EC" w:rsidRDefault="000D75EC" w:rsidP="000D75EC">
      <w:pPr>
        <w:rPr>
          <w:rFonts w:ascii="Arial" w:hAnsi="Arial" w:cs="Arial"/>
          <w:b/>
          <w:bCs/>
          <w:sz w:val="24"/>
          <w:szCs w:val="24"/>
        </w:rPr>
      </w:pPr>
      <w:r w:rsidRPr="000D75EC">
        <w:rPr>
          <w:rFonts w:ascii="Arial" w:hAnsi="Arial" w:cs="Arial"/>
          <w:b/>
          <w:bCs/>
          <w:sz w:val="24"/>
          <w:szCs w:val="24"/>
        </w:rPr>
        <w:t>Google Cloud Platform (GCP):</w:t>
      </w:r>
    </w:p>
    <w:p w14:paraId="7F9FE653" w14:textId="77777777" w:rsidR="000D75EC" w:rsidRPr="000D75EC" w:rsidRDefault="000D75EC" w:rsidP="000D75E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GCP también sigue un modelo de precios basado en el pago por uso, donde los clientes pagan solo por los recursos que consumen.</w:t>
      </w:r>
    </w:p>
    <w:p w14:paraId="3453F165" w14:textId="77777777" w:rsidR="000D75EC" w:rsidRPr="000D75EC" w:rsidRDefault="000D75EC" w:rsidP="000D75E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Ofrece una variedad de opciones de precios, incluyendo por hora o por segundo para instancias de máquinas virtuales, y tarifas específicas para servicios como almacenamiento, bases de datos y procesamiento de datos.</w:t>
      </w:r>
    </w:p>
    <w:p w14:paraId="13607142" w14:textId="77777777" w:rsidR="000D75EC" w:rsidRPr="000D75EC" w:rsidRDefault="000D75EC" w:rsidP="000D75E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GCP ofrece descuentos por compromisos a largo plazo a través de opciones como instancias comprometidas y descuentos por uso sostenido para cargas de trabajo continuas.</w:t>
      </w:r>
    </w:p>
    <w:p w14:paraId="6BBE8783" w14:textId="6096341D" w:rsidR="000D75EC" w:rsidRPr="000D75EC" w:rsidRDefault="000D75EC" w:rsidP="000D75E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Los clientes pueden utilizar la calculadora de precios de GCP para estimar sus costos y optimizar sus gastos utilizando herramientas como el uso previsto y los informes de facturación.</w:t>
      </w:r>
    </w:p>
    <w:p w14:paraId="46EA139E" w14:textId="1D83B3D2" w:rsidR="000D75EC" w:rsidRDefault="000D75EC" w:rsidP="000D75EC">
      <w:p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Es importante tener en cuenta que los costos pueden variar según la región, el tipo de servicio y otros factores, por lo que se recomienda a los clientes que revisen la documentación oficial de cada proveedor y utilicen las herramientas de estimación de costos proporcionadas para obtener una comprensión precisa de los precios.</w:t>
      </w:r>
    </w:p>
    <w:p w14:paraId="1DB05C59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79106FB8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00BCFD6C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1B8080C0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1ABCD280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44C2A421" w14:textId="77777777" w:rsidR="000D75EC" w:rsidRP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0595BD2C" w14:textId="7138CEC2" w:rsid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lastRenderedPageBreak/>
        <w:t>Seguridad y Cumplimiento:</w:t>
      </w:r>
    </w:p>
    <w:p w14:paraId="3B6A1F65" w14:textId="7DC822A5" w:rsidR="000D75EC" w:rsidRDefault="000D75EC" w:rsidP="00664CBA">
      <w:p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 xml:space="preserve">En cuanto a </w:t>
      </w:r>
      <w:r w:rsidRPr="000D75EC">
        <w:rPr>
          <w:rFonts w:ascii="Arial" w:hAnsi="Arial" w:cs="Arial"/>
          <w:sz w:val="24"/>
          <w:szCs w:val="24"/>
        </w:rPr>
        <w:t>la seguridad y el cumplimiento son aspectos críticos cuando se considera un proveedor de servicios en la nube</w:t>
      </w:r>
      <w:r>
        <w:rPr>
          <w:rFonts w:ascii="Arial" w:hAnsi="Arial" w:cs="Arial"/>
          <w:sz w:val="24"/>
          <w:szCs w:val="24"/>
        </w:rPr>
        <w:t xml:space="preserve">. Aquí hay una </w:t>
      </w:r>
      <w:r w:rsidRPr="000D75EC">
        <w:rPr>
          <w:rFonts w:ascii="Arial" w:hAnsi="Arial" w:cs="Arial"/>
          <w:sz w:val="24"/>
          <w:szCs w:val="24"/>
        </w:rPr>
        <w:t>descripción general de las medidas de seguridad y cumplimiento ofrecidas por</w:t>
      </w:r>
      <w:r>
        <w:rPr>
          <w:rFonts w:ascii="Arial" w:hAnsi="Arial" w:cs="Arial"/>
          <w:sz w:val="24"/>
          <w:szCs w:val="24"/>
        </w:rPr>
        <w:t xml:space="preserve"> estos proveedores.</w:t>
      </w:r>
    </w:p>
    <w:p w14:paraId="345B86F9" w14:textId="072F01ED" w:rsidR="000D75EC" w:rsidRPr="000D75EC" w:rsidRDefault="000D75EC" w:rsidP="000D75EC">
      <w:pPr>
        <w:rPr>
          <w:rFonts w:ascii="Arial" w:hAnsi="Arial" w:cs="Arial"/>
          <w:b/>
          <w:bCs/>
          <w:sz w:val="24"/>
          <w:szCs w:val="24"/>
        </w:rPr>
      </w:pPr>
      <w:r w:rsidRPr="000D75EC">
        <w:rPr>
          <w:rFonts w:ascii="Arial" w:hAnsi="Arial" w:cs="Arial"/>
          <w:b/>
          <w:bCs/>
          <w:sz w:val="24"/>
          <w:szCs w:val="24"/>
        </w:rPr>
        <w:t>Amazon Web Services (AWS):</w:t>
      </w:r>
    </w:p>
    <w:p w14:paraId="3655D872" w14:textId="77777777" w:rsidR="000D75EC" w:rsidRPr="000D75EC" w:rsidRDefault="000D75EC" w:rsidP="000D75E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AWS ofrece una amplia gama de herramientas y servicios para garantizar la seguridad de los datos y las aplicaciones de sus clientes. Esto incluye controles de acceso granular, cifrado de datos en tránsito y en reposo, y monitoreo continuo de la seguridad.</w:t>
      </w:r>
    </w:p>
    <w:p w14:paraId="165D6D07" w14:textId="77777777" w:rsidR="000D75EC" w:rsidRPr="000D75EC" w:rsidRDefault="000D75EC" w:rsidP="000D75E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AWS cumple con numerosos estándares de seguridad y cumplimiento, incluyendo ISO 27001, SOC 1/2/3, PCI DSS y HIPAA, entre otros.</w:t>
      </w:r>
    </w:p>
    <w:p w14:paraId="192C5054" w14:textId="77777777" w:rsidR="000D75EC" w:rsidRPr="000D75EC" w:rsidRDefault="000D75EC" w:rsidP="000D75E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Además, AWS proporciona herramientas de gestión de identidad y acceso, como AWS Identity and Access Management (IAM), para controlar y auditar el acceso a los recursos de la nube.</w:t>
      </w:r>
    </w:p>
    <w:p w14:paraId="5412757D" w14:textId="77777777" w:rsidR="000D75EC" w:rsidRPr="000D75EC" w:rsidRDefault="000D75EC" w:rsidP="000D75E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AWS ofrece servicios de cumplimiento específicos para diferentes sectores, como AWS GovCloud (para agencias gubernamentales) y AWS GovCloud (para el sector financiero).</w:t>
      </w:r>
    </w:p>
    <w:p w14:paraId="6332277B" w14:textId="77777777" w:rsidR="000D75EC" w:rsidRPr="000D75EC" w:rsidRDefault="000D75EC" w:rsidP="000D75E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Los clientes de AWS también tienen acceso a herramientas de seguridad avanzadas, como AWS Shield para protección contra ataques DDoS y AWS WAF (Web Application Firewall) para proteger las aplicaciones web.</w:t>
      </w:r>
    </w:p>
    <w:p w14:paraId="3A2520B2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1F9867FB" w14:textId="3D64265B" w:rsidR="000D75EC" w:rsidRPr="000D75EC" w:rsidRDefault="000D75EC" w:rsidP="000D75EC">
      <w:pPr>
        <w:rPr>
          <w:rFonts w:ascii="Arial" w:hAnsi="Arial" w:cs="Arial"/>
          <w:b/>
          <w:bCs/>
          <w:sz w:val="24"/>
          <w:szCs w:val="24"/>
        </w:rPr>
      </w:pPr>
      <w:r w:rsidRPr="000D75EC">
        <w:rPr>
          <w:rFonts w:ascii="Arial" w:hAnsi="Arial" w:cs="Arial"/>
          <w:b/>
          <w:bCs/>
          <w:sz w:val="24"/>
          <w:szCs w:val="24"/>
        </w:rPr>
        <w:t>Microsoft Azure:</w:t>
      </w:r>
    </w:p>
    <w:p w14:paraId="34D9B97D" w14:textId="77777777" w:rsidR="000D75EC" w:rsidRPr="000D75EC" w:rsidRDefault="000D75EC" w:rsidP="000D75E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Azure cuenta con una sólida infraestructura de seguridad que incluye controles de acceso basados en roles, cifrado de datos y monitoreo continuo.</w:t>
      </w:r>
    </w:p>
    <w:p w14:paraId="1FADB7D2" w14:textId="77777777" w:rsidR="000D75EC" w:rsidRPr="000D75EC" w:rsidRDefault="000D75EC" w:rsidP="000D75E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Azure cumple con una amplia gama de estándares de seguridad y cumplimiento, incluyendo ISO 27001, SOC 1/2/3, PCI DSS y HIPAA, entre otros.</w:t>
      </w:r>
    </w:p>
    <w:p w14:paraId="6671AABC" w14:textId="77777777" w:rsidR="000D75EC" w:rsidRPr="000D75EC" w:rsidRDefault="000D75EC" w:rsidP="000D75E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Azure proporciona herramientas de gestión de identidad y acceso, como Azure Active Directory (AD), para controlar y auditar el acceso a los recursos de la nube.</w:t>
      </w:r>
    </w:p>
    <w:p w14:paraId="31AFD806" w14:textId="77777777" w:rsidR="000D75EC" w:rsidRPr="000D75EC" w:rsidRDefault="000D75EC" w:rsidP="000D75E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Azure ofrece servicios específicos para cumplir con requisitos regulatorios y de cumplimiento en diferentes industrias, como Azure Government para agencias gubernamentales.</w:t>
      </w:r>
    </w:p>
    <w:p w14:paraId="41FF1CF8" w14:textId="77777777" w:rsidR="000D75EC" w:rsidRPr="000D75EC" w:rsidRDefault="000D75EC" w:rsidP="000D75E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Los clientes de Azure pueden aprovechar herramientas de seguridad avanzadas, como Azure Security Center para monitoreo y protección continuos de la seguridad de los recursos en la nube.</w:t>
      </w:r>
    </w:p>
    <w:p w14:paraId="5C963160" w14:textId="77777777" w:rsidR="000D75EC" w:rsidRP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1B3BD09F" w14:textId="77777777" w:rsidR="000D75EC" w:rsidRDefault="000D75EC" w:rsidP="000D75EC">
      <w:pPr>
        <w:rPr>
          <w:rFonts w:ascii="Arial" w:hAnsi="Arial" w:cs="Arial"/>
          <w:sz w:val="24"/>
          <w:szCs w:val="24"/>
        </w:rPr>
      </w:pPr>
    </w:p>
    <w:p w14:paraId="7702E744" w14:textId="25F3F647" w:rsidR="000D75EC" w:rsidRPr="000D75EC" w:rsidRDefault="000D75EC" w:rsidP="000D75EC">
      <w:pPr>
        <w:rPr>
          <w:rFonts w:ascii="Arial" w:hAnsi="Arial" w:cs="Arial"/>
          <w:b/>
          <w:bCs/>
          <w:sz w:val="24"/>
          <w:szCs w:val="24"/>
        </w:rPr>
      </w:pPr>
      <w:r w:rsidRPr="000D75EC">
        <w:rPr>
          <w:rFonts w:ascii="Arial" w:hAnsi="Arial" w:cs="Arial"/>
          <w:b/>
          <w:bCs/>
          <w:sz w:val="24"/>
          <w:szCs w:val="24"/>
        </w:rPr>
        <w:t>Google Cloud Platform (GCP):</w:t>
      </w:r>
    </w:p>
    <w:p w14:paraId="456F2280" w14:textId="77777777" w:rsidR="000D75EC" w:rsidRPr="000D75EC" w:rsidRDefault="000D75EC" w:rsidP="000D75E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GCP cuenta con una infraestructura de seguridad robusta que incluye controles de acceso avanzados, cifrado de datos y monitoreo de la seguridad en tiempo real.</w:t>
      </w:r>
    </w:p>
    <w:p w14:paraId="538B59A5" w14:textId="77777777" w:rsidR="000D75EC" w:rsidRPr="000D75EC" w:rsidRDefault="000D75EC" w:rsidP="000D75E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GCP cumple con una variedad de estándares de seguridad y cumplimiento, incluyendo ISO 27001, SOC 1/2/3, PCI DSS y HIPAA, entre otros.</w:t>
      </w:r>
    </w:p>
    <w:p w14:paraId="23FB0448" w14:textId="77777777" w:rsidR="000D75EC" w:rsidRPr="000D75EC" w:rsidRDefault="000D75EC" w:rsidP="000D75E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GCP ofrece herramientas de gestión de identidad y acceso, como Google Cloud Identity and Access Management (IAM), para controlar y auditar el acceso a los recursos de la nube.</w:t>
      </w:r>
    </w:p>
    <w:p w14:paraId="6FE002DD" w14:textId="77777777" w:rsidR="000D75EC" w:rsidRPr="000D75EC" w:rsidRDefault="000D75EC" w:rsidP="000D75E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GCP proporciona servicios específicos para cumplir con requisitos regulatorios y de cumplimiento en diferentes industrias, como Google Cloud Government para agencias gubernamentales.</w:t>
      </w:r>
    </w:p>
    <w:p w14:paraId="74BC08DF" w14:textId="7FDAC7C6" w:rsidR="000D75EC" w:rsidRDefault="000D75EC" w:rsidP="000D75E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0D75EC">
        <w:rPr>
          <w:rFonts w:ascii="Arial" w:hAnsi="Arial" w:cs="Arial"/>
          <w:sz w:val="24"/>
          <w:szCs w:val="24"/>
        </w:rPr>
        <w:t>Los clientes de GCP tienen acceso a herramientas de seguridad avanzadas, como Google Cloud Armor para protección contra ataques DDoS y Google Cloud Security Command Center para visibilidad y control centralizados de la seguridad.</w:t>
      </w:r>
    </w:p>
    <w:p w14:paraId="5038EF69" w14:textId="2D818A90" w:rsidR="000D75EC" w:rsidRPr="000D75EC" w:rsidRDefault="008E0169" w:rsidP="008E01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tres </w:t>
      </w:r>
      <w:r w:rsidRPr="008E0169">
        <w:rPr>
          <w:rFonts w:ascii="Arial" w:hAnsi="Arial" w:cs="Arial"/>
          <w:sz w:val="24"/>
          <w:szCs w:val="24"/>
        </w:rPr>
        <w:t>ofrecen medidas de seguridad y cumplimiento robustas para proteger los datos y las aplicaciones de sus clientes. Cada proveedor tiene su conjunto único de herramientas y servicios, por lo que es importante que las organizaciones evalúen detenidamente sus necesidades de seguridad y seleccionen el proveedor que mejor se adapte a sus requisitos específicos.</w:t>
      </w:r>
    </w:p>
    <w:p w14:paraId="5C86E852" w14:textId="77777777" w:rsidR="00664CBA" w:rsidRDefault="00664CBA" w:rsidP="00664CBA">
      <w:pPr>
        <w:rPr>
          <w:rFonts w:ascii="Arial" w:hAnsi="Arial" w:cs="Arial"/>
          <w:b/>
          <w:bCs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t>Soporte Técnico:</w:t>
      </w:r>
    </w:p>
    <w:p w14:paraId="4D86D9E7" w14:textId="77777777" w:rsidR="008E0169" w:rsidRDefault="008E0169" w:rsidP="00664CBA">
      <w:p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El soporte técnico y los recursos de ayuda son aspectos fundamentales a considerar al elegir un proveedor de servicios en la nube, ya que pueden marcar la diferencia en la resolución de problemas y la optimización del uso de la plataforma</w:t>
      </w:r>
    </w:p>
    <w:p w14:paraId="2FA0F54C" w14:textId="2D10C9B3" w:rsidR="008E0169" w:rsidRPr="008E0169" w:rsidRDefault="008E0169" w:rsidP="008E0169">
      <w:pPr>
        <w:rPr>
          <w:rFonts w:ascii="Arial" w:hAnsi="Arial" w:cs="Arial"/>
          <w:b/>
          <w:bCs/>
          <w:sz w:val="24"/>
          <w:szCs w:val="24"/>
        </w:rPr>
      </w:pPr>
      <w:r w:rsidRPr="008E0169">
        <w:rPr>
          <w:rFonts w:ascii="Arial" w:hAnsi="Arial" w:cs="Arial"/>
          <w:b/>
          <w:bCs/>
          <w:sz w:val="24"/>
          <w:szCs w:val="24"/>
        </w:rPr>
        <w:t>Amazon Web Services (AWS):</w:t>
      </w:r>
    </w:p>
    <w:p w14:paraId="4CEF1EFA" w14:textId="77777777" w:rsidR="008E0169" w:rsidRPr="008E0169" w:rsidRDefault="008E0169" w:rsidP="008E016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AWS ofrece diferentes niveles de soporte técnico, que van desde el soporte básico gratuito hasta niveles de soporte empresarial con tiempos de respuesta garantizados y acceso a arquitectos de soluciones dedicados.</w:t>
      </w:r>
    </w:p>
    <w:p w14:paraId="0C8449C5" w14:textId="77777777" w:rsidR="008E0169" w:rsidRPr="008E0169" w:rsidRDefault="008E0169" w:rsidP="008E016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El soporte técnico de AWS está disponible las 24 horas del día, los 7 días de la semana, a través de varios canales, como chat en línea, correo electrónico y teléfono.</w:t>
      </w:r>
    </w:p>
    <w:p w14:paraId="4A0EC217" w14:textId="77777777" w:rsidR="008E0169" w:rsidRPr="008E0169" w:rsidRDefault="008E0169" w:rsidP="008E016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Además del soporte directo, AWS proporciona una amplia gama de recursos de ayuda en línea, que incluyen documentación detallada, tutoriales paso a paso, foros de usuarios y grupos de discusión, y una extensa base de conocimientos.</w:t>
      </w:r>
    </w:p>
    <w:p w14:paraId="3338B6AF" w14:textId="77777777" w:rsidR="008E0169" w:rsidRPr="008E0169" w:rsidRDefault="008E0169" w:rsidP="008E016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lastRenderedPageBreak/>
        <w:t>AWS también ofrece programas de formación y certificación para ayudar a los clientes a desarrollar habilidades en la plataforma y maximizar su uso de los servicios de AWS.</w:t>
      </w:r>
    </w:p>
    <w:p w14:paraId="261974C4" w14:textId="2741BB25" w:rsidR="008E0169" w:rsidRPr="008E0169" w:rsidRDefault="008E0169" w:rsidP="008E0169">
      <w:pPr>
        <w:rPr>
          <w:rFonts w:ascii="Arial" w:hAnsi="Arial" w:cs="Arial"/>
          <w:b/>
          <w:bCs/>
          <w:sz w:val="24"/>
          <w:szCs w:val="24"/>
        </w:rPr>
      </w:pPr>
      <w:r w:rsidRPr="008E0169">
        <w:rPr>
          <w:rFonts w:ascii="Arial" w:hAnsi="Arial" w:cs="Arial"/>
          <w:b/>
          <w:bCs/>
          <w:sz w:val="24"/>
          <w:szCs w:val="24"/>
        </w:rPr>
        <w:t>Microsoft Azure:</w:t>
      </w:r>
    </w:p>
    <w:p w14:paraId="39A1509B" w14:textId="77777777" w:rsidR="008E0169" w:rsidRPr="008E0169" w:rsidRDefault="008E0169" w:rsidP="008E016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Azure ofrece varios niveles de soporte técnico, que van desde el soporte gratuito básico hasta opciones de soporte pagado con tiempos de respuesta garantizados y asistencia técnica proactiva.</w:t>
      </w:r>
    </w:p>
    <w:p w14:paraId="7C9E1622" w14:textId="77777777" w:rsidR="008E0169" w:rsidRPr="008E0169" w:rsidRDefault="008E0169" w:rsidP="008E016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El soporte técnico de Azure está disponible las 24 horas del día, los 7 días de la semana, a través de varios canales, incluyendo chat en línea, correo electrónico y teléfono.</w:t>
      </w:r>
    </w:p>
    <w:p w14:paraId="57C40FA9" w14:textId="77777777" w:rsidR="008E0169" w:rsidRPr="008E0169" w:rsidRDefault="008E0169" w:rsidP="008E016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Azure proporciona una amplia gama de recursos de ayuda en línea, que incluyen documentación detallada, tutoriales guiados, comunidades de usuarios activas, y una biblioteca de vídeos y seminarios web.</w:t>
      </w:r>
    </w:p>
    <w:p w14:paraId="1799A33C" w14:textId="77777777" w:rsidR="008E0169" w:rsidRPr="008E0169" w:rsidRDefault="008E0169" w:rsidP="008E016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Microsoft también ofrece programas de capacitación y certificación, así como acceso a expertos técnicos a través de eventos y conferencias.</w:t>
      </w:r>
    </w:p>
    <w:p w14:paraId="3C84339C" w14:textId="476DFF84" w:rsidR="008E0169" w:rsidRPr="008E0169" w:rsidRDefault="008E0169" w:rsidP="008E0169">
      <w:pPr>
        <w:rPr>
          <w:rFonts w:ascii="Arial" w:hAnsi="Arial" w:cs="Arial"/>
          <w:b/>
          <w:bCs/>
          <w:sz w:val="24"/>
          <w:szCs w:val="24"/>
        </w:rPr>
      </w:pPr>
      <w:bookmarkStart w:id="0" w:name="_Hlk158412254"/>
      <w:r w:rsidRPr="008E0169">
        <w:rPr>
          <w:rFonts w:ascii="Arial" w:hAnsi="Arial" w:cs="Arial"/>
          <w:b/>
          <w:bCs/>
          <w:sz w:val="24"/>
          <w:szCs w:val="24"/>
        </w:rPr>
        <w:t>Google Cloud Platform (GCP):</w:t>
      </w:r>
      <w:bookmarkEnd w:id="0"/>
    </w:p>
    <w:p w14:paraId="36BCC4F5" w14:textId="77777777" w:rsidR="008E0169" w:rsidRPr="008E0169" w:rsidRDefault="008E0169" w:rsidP="008E016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GCP ofrece diferentes niveles de soporte técnico, que van desde el soporte gratuito básico hasta opciones de soporte pagado con tiempos de respuesta garantizados y asistencia técnica proactiva.</w:t>
      </w:r>
    </w:p>
    <w:p w14:paraId="02DCCA51" w14:textId="77777777" w:rsidR="008E0169" w:rsidRPr="008E0169" w:rsidRDefault="008E0169" w:rsidP="008E016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El soporte técnico de GCP está disponible las 24 horas del día, los 7 días de la semana, a través de varios canales, incluyendo chat en línea, correo electrónico y teléfono.</w:t>
      </w:r>
    </w:p>
    <w:p w14:paraId="6B4A3AB3" w14:textId="77777777" w:rsidR="008E0169" w:rsidRPr="008E0169" w:rsidRDefault="008E0169" w:rsidP="008E016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GCP proporciona una amplia gama de recursos de ayuda en línea, que incluyen documentación exhaustiva, guías de inicio rápido, tutoriales interactivos, foros de usuarios y una comunidad activa de desarrolladores.</w:t>
      </w:r>
    </w:p>
    <w:p w14:paraId="22FCAE7F" w14:textId="47637351" w:rsidR="008E0169" w:rsidRDefault="008E0169" w:rsidP="008E016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Google también ofrece programas de formación y certificación, así como acceso a expertos técnicos a través de eventos y conferencias, como Google Cloud Next.</w:t>
      </w:r>
    </w:p>
    <w:p w14:paraId="6D4B06AB" w14:textId="4F14509D" w:rsidR="008E0169" w:rsidRDefault="008E0169" w:rsidP="008E0169">
      <w:pPr>
        <w:rPr>
          <w:rFonts w:ascii="Arial" w:hAnsi="Arial" w:cs="Arial"/>
          <w:sz w:val="24"/>
          <w:szCs w:val="24"/>
        </w:rPr>
      </w:pPr>
      <w:r w:rsidRPr="008E0169">
        <w:rPr>
          <w:rFonts w:ascii="Arial" w:hAnsi="Arial" w:cs="Arial"/>
          <w:sz w:val="24"/>
          <w:szCs w:val="24"/>
        </w:rPr>
        <w:t>En resumen, AWS, Azure y GCP ofrecen sólidos recursos de ayuda y soporte técnico para ayudar a los clientes a resolver problemas, optimizar el rendimiento y desarrollar habilidades en la plataforma de nube.</w:t>
      </w:r>
    </w:p>
    <w:p w14:paraId="22B97DC8" w14:textId="77777777" w:rsidR="008E0169" w:rsidRDefault="008E0169" w:rsidP="008E0169">
      <w:pPr>
        <w:rPr>
          <w:rFonts w:ascii="Arial" w:hAnsi="Arial" w:cs="Arial"/>
          <w:sz w:val="24"/>
          <w:szCs w:val="24"/>
        </w:rPr>
      </w:pPr>
    </w:p>
    <w:p w14:paraId="4C396F25" w14:textId="77777777" w:rsidR="008E0169" w:rsidRDefault="008E0169" w:rsidP="008E0169">
      <w:pPr>
        <w:rPr>
          <w:rFonts w:ascii="Arial" w:hAnsi="Arial" w:cs="Arial"/>
          <w:sz w:val="24"/>
          <w:szCs w:val="24"/>
        </w:rPr>
      </w:pPr>
    </w:p>
    <w:p w14:paraId="3E424325" w14:textId="77777777" w:rsidR="008E0169" w:rsidRDefault="008E0169" w:rsidP="008E0169">
      <w:pPr>
        <w:rPr>
          <w:rFonts w:ascii="Arial" w:hAnsi="Arial" w:cs="Arial"/>
          <w:sz w:val="24"/>
          <w:szCs w:val="24"/>
        </w:rPr>
      </w:pPr>
    </w:p>
    <w:p w14:paraId="77027F29" w14:textId="77777777" w:rsidR="008E0169" w:rsidRDefault="008E0169" w:rsidP="008E0169">
      <w:pPr>
        <w:rPr>
          <w:rFonts w:ascii="Arial" w:hAnsi="Arial" w:cs="Arial"/>
          <w:sz w:val="24"/>
          <w:szCs w:val="24"/>
        </w:rPr>
      </w:pPr>
    </w:p>
    <w:p w14:paraId="51082697" w14:textId="77777777" w:rsidR="008E0169" w:rsidRDefault="008E0169" w:rsidP="008E0169">
      <w:pPr>
        <w:rPr>
          <w:rFonts w:ascii="Arial" w:hAnsi="Arial" w:cs="Arial"/>
          <w:sz w:val="24"/>
          <w:szCs w:val="24"/>
        </w:rPr>
      </w:pPr>
    </w:p>
    <w:p w14:paraId="6C021928" w14:textId="77777777" w:rsidR="008E0169" w:rsidRPr="008E0169" w:rsidRDefault="008E0169" w:rsidP="008E0169">
      <w:pPr>
        <w:rPr>
          <w:rFonts w:ascii="Arial" w:hAnsi="Arial" w:cs="Arial"/>
          <w:sz w:val="24"/>
          <w:szCs w:val="24"/>
        </w:rPr>
      </w:pPr>
    </w:p>
    <w:p w14:paraId="1ED51342" w14:textId="7ACE0AF2" w:rsidR="00664CBA" w:rsidRPr="008E0169" w:rsidRDefault="00664CBA" w:rsidP="00664CBA">
      <w:pPr>
        <w:rPr>
          <w:rFonts w:ascii="Arial" w:hAnsi="Arial" w:cs="Arial"/>
          <w:sz w:val="24"/>
          <w:szCs w:val="24"/>
        </w:rPr>
      </w:pPr>
      <w:r w:rsidRPr="00664CBA">
        <w:rPr>
          <w:rFonts w:ascii="Arial" w:hAnsi="Arial" w:cs="Arial"/>
          <w:b/>
          <w:bCs/>
          <w:sz w:val="24"/>
          <w:szCs w:val="24"/>
        </w:rPr>
        <w:lastRenderedPageBreak/>
        <w:t>Casos de Éxito y Opiniones de Clientes:</w:t>
      </w:r>
    </w:p>
    <w:p w14:paraId="490EE009" w14:textId="75F3C334" w:rsidR="008E0169" w:rsidRDefault="008E0169" w:rsidP="00664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8E0169">
        <w:rPr>
          <w:rFonts w:ascii="Arial" w:hAnsi="Arial" w:cs="Arial"/>
          <w:sz w:val="24"/>
          <w:szCs w:val="24"/>
        </w:rPr>
        <w:t xml:space="preserve">as </w:t>
      </w:r>
      <w:r w:rsidR="001C3133">
        <w:rPr>
          <w:rFonts w:ascii="Arial" w:hAnsi="Arial" w:cs="Arial"/>
          <w:sz w:val="24"/>
          <w:szCs w:val="24"/>
        </w:rPr>
        <w:t xml:space="preserve">distintas </w:t>
      </w:r>
      <w:r w:rsidRPr="008E0169">
        <w:rPr>
          <w:rFonts w:ascii="Arial" w:hAnsi="Arial" w:cs="Arial"/>
          <w:sz w:val="24"/>
          <w:szCs w:val="24"/>
        </w:rPr>
        <w:t>opiniones y experiencias de los usuarios para comprender mejor cómo estas plataformas están impactando positivamente en diferentes sectores y organizaciones de todos los tamaños. A través de estos casos de éxito y testimonios, buscamos ofrecer una visión más completa de las fortalezas y beneficios que cada plataforma de nube puede proporcionar a sus usuarios.</w:t>
      </w:r>
    </w:p>
    <w:p w14:paraId="17E1C70E" w14:textId="6A05144D" w:rsidR="001C3133" w:rsidRDefault="001C3133" w:rsidP="00664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están algunos de estos testimonios y casos de éxito de cada plataforma que hemos tratado:</w:t>
      </w:r>
    </w:p>
    <w:p w14:paraId="768E58AC" w14:textId="77777777" w:rsidR="001C3133" w:rsidRPr="008E0169" w:rsidRDefault="001C3133" w:rsidP="001C3133">
      <w:pPr>
        <w:rPr>
          <w:rFonts w:ascii="Arial" w:hAnsi="Arial" w:cs="Arial"/>
          <w:b/>
          <w:bCs/>
          <w:sz w:val="24"/>
          <w:szCs w:val="24"/>
        </w:rPr>
      </w:pPr>
      <w:r w:rsidRPr="008E0169">
        <w:rPr>
          <w:rFonts w:ascii="Arial" w:hAnsi="Arial" w:cs="Arial"/>
          <w:b/>
          <w:bCs/>
          <w:sz w:val="24"/>
          <w:szCs w:val="24"/>
        </w:rPr>
        <w:t>Amazon Web Services (AWS):</w:t>
      </w:r>
    </w:p>
    <w:p w14:paraId="7E7745D5" w14:textId="3278EE9A" w:rsidR="001C3133" w:rsidRDefault="001C3133" w:rsidP="001C313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hyperlink r:id="rId7" w:history="1">
        <w:r w:rsidRPr="001C3133">
          <w:rPr>
            <w:rStyle w:val="Hipervnculo"/>
            <w:rFonts w:ascii="Arial" w:hAnsi="Arial" w:cs="Arial"/>
            <w:sz w:val="24"/>
            <w:szCs w:val="24"/>
          </w:rPr>
          <w:t>Grupo Bimbo reduce en un 75% los abandonos de llamadas y mejora la experiencia del cliente</w:t>
        </w:r>
      </w:hyperlink>
    </w:p>
    <w:p w14:paraId="28196EDC" w14:textId="16F43785" w:rsidR="001C3133" w:rsidRDefault="001C3133" w:rsidP="001C313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hyperlink r:id="rId8" w:history="1">
        <w:r w:rsidRPr="001C3133">
          <w:rPr>
            <w:rStyle w:val="Hipervnculo"/>
            <w:rFonts w:ascii="Arial" w:hAnsi="Arial" w:cs="Arial"/>
            <w:sz w:val="24"/>
            <w:szCs w:val="24"/>
          </w:rPr>
          <w:t>Rappi optimiza un 90% su costo-beneficio en la nube de AWS gracias a FinOps</w:t>
        </w:r>
      </w:hyperlink>
    </w:p>
    <w:p w14:paraId="293D49CF" w14:textId="36EA0E5A" w:rsidR="001C3133" w:rsidRDefault="001C3133" w:rsidP="001C313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hyperlink r:id="rId9" w:history="1">
        <w:r w:rsidRPr="001C3133">
          <w:rPr>
            <w:rStyle w:val="Hipervnculo"/>
            <w:rFonts w:ascii="Arial" w:hAnsi="Arial" w:cs="Arial"/>
            <w:sz w:val="24"/>
            <w:szCs w:val="24"/>
          </w:rPr>
          <w:t>Santander Argentina se convierte en referente global gracias a su transformación basada en AWS</w:t>
        </w:r>
      </w:hyperlink>
    </w:p>
    <w:p w14:paraId="35F3D393" w14:textId="6B2F47C2" w:rsidR="001C3133" w:rsidRDefault="001C3133" w:rsidP="001C313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hyperlink r:id="rId10" w:history="1">
        <w:r w:rsidRPr="001C3133">
          <w:rPr>
            <w:rStyle w:val="Hipervnculo"/>
            <w:rFonts w:ascii="Arial" w:hAnsi="Arial" w:cs="Arial"/>
            <w:sz w:val="24"/>
            <w:szCs w:val="24"/>
          </w:rPr>
          <w:t>Bancamiga posiciona su marca en Venezuela con proceso de innovación basado en AWS</w:t>
        </w:r>
      </w:hyperlink>
    </w:p>
    <w:p w14:paraId="6D4076BE" w14:textId="468A0AC9" w:rsidR="002152F9" w:rsidRPr="0017215B" w:rsidRDefault="0017215B" w:rsidP="001C3133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="002152F9" w:rsidRPr="0017215B">
          <w:rPr>
            <w:rStyle w:val="Hipervnculo"/>
            <w:rFonts w:ascii="Arial" w:hAnsi="Arial" w:cs="Arial"/>
            <w:b/>
            <w:bCs/>
            <w:sz w:val="24"/>
            <w:szCs w:val="24"/>
          </w:rPr>
          <w:t>Mas casos de éxito</w:t>
        </w:r>
      </w:hyperlink>
    </w:p>
    <w:p w14:paraId="0FBFCCFF" w14:textId="77777777" w:rsidR="001C3133" w:rsidRDefault="001C3133" w:rsidP="001C3133">
      <w:pPr>
        <w:rPr>
          <w:rFonts w:ascii="Arial" w:hAnsi="Arial" w:cs="Arial"/>
          <w:b/>
          <w:bCs/>
          <w:sz w:val="24"/>
          <w:szCs w:val="24"/>
        </w:rPr>
      </w:pPr>
      <w:r w:rsidRPr="001C3133">
        <w:rPr>
          <w:rFonts w:ascii="Arial" w:hAnsi="Arial" w:cs="Arial"/>
          <w:b/>
          <w:bCs/>
          <w:sz w:val="24"/>
          <w:szCs w:val="24"/>
        </w:rPr>
        <w:t>Microsoft Azure:</w:t>
      </w:r>
    </w:p>
    <w:p w14:paraId="3BEFC552" w14:textId="6DAF3AF3" w:rsidR="001C3133" w:rsidRDefault="001C3133" w:rsidP="001C313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hyperlink r:id="rId12" w:history="1">
        <w:r w:rsidRPr="001C3133">
          <w:rPr>
            <w:rStyle w:val="Hipervnculo"/>
            <w:rFonts w:ascii="Arial" w:hAnsi="Arial" w:cs="Arial"/>
            <w:sz w:val="24"/>
            <w:szCs w:val="24"/>
          </w:rPr>
          <w:t>La NBA utiliza Microsoft Azure para alimentar contenido nuevo que aumenta la participación de los fanáticos</w:t>
        </w:r>
      </w:hyperlink>
    </w:p>
    <w:p w14:paraId="0F3EC599" w14:textId="24113E64" w:rsidR="001C3133" w:rsidRDefault="002152F9" w:rsidP="001C313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hyperlink r:id="rId13" w:history="1">
        <w:r w:rsidR="001C3133" w:rsidRPr="002152F9">
          <w:rPr>
            <w:rStyle w:val="Hipervnculo"/>
            <w:rFonts w:ascii="Arial" w:hAnsi="Arial" w:cs="Arial"/>
            <w:sz w:val="24"/>
            <w:szCs w:val="24"/>
          </w:rPr>
          <w:t>Salud Digna lleva tranquilidad a sus pacientes con Azure Synapse Analytics </w:t>
        </w:r>
      </w:hyperlink>
    </w:p>
    <w:p w14:paraId="61A30D8E" w14:textId="094F245A" w:rsidR="002152F9" w:rsidRDefault="002152F9" w:rsidP="001C313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hyperlink r:id="rId14" w:history="1">
        <w:r w:rsidRPr="002152F9">
          <w:rPr>
            <w:rStyle w:val="Hipervnculo"/>
            <w:rFonts w:ascii="Arial" w:hAnsi="Arial" w:cs="Arial"/>
            <w:sz w:val="24"/>
            <w:szCs w:val="24"/>
          </w:rPr>
          <w:t>BCP potencia con Azure su plan de inclusión financiera para millones de usuarios</w:t>
        </w:r>
      </w:hyperlink>
    </w:p>
    <w:p w14:paraId="58CB9213" w14:textId="763A0B60" w:rsidR="002152F9" w:rsidRDefault="002152F9" w:rsidP="001C3133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hyperlink r:id="rId15" w:history="1">
        <w:r w:rsidRPr="002152F9">
          <w:rPr>
            <w:rStyle w:val="Hipervnculo"/>
            <w:rFonts w:ascii="Arial" w:hAnsi="Arial" w:cs="Arial"/>
            <w:sz w:val="24"/>
            <w:szCs w:val="24"/>
          </w:rPr>
          <w:t>Grupo Martí inicia su transformación digital apalancado por Azure</w:t>
        </w:r>
      </w:hyperlink>
    </w:p>
    <w:p w14:paraId="68D09AB7" w14:textId="47172C17" w:rsidR="002152F9" w:rsidRDefault="002152F9" w:rsidP="001C3133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hyperlink r:id="rId16" w:history="1">
        <w:r w:rsidRPr="002152F9">
          <w:rPr>
            <w:rStyle w:val="Hipervnculo"/>
            <w:rFonts w:ascii="Arial" w:hAnsi="Arial" w:cs="Arial"/>
            <w:b/>
            <w:bCs/>
            <w:sz w:val="24"/>
            <w:szCs w:val="24"/>
          </w:rPr>
          <w:t>Mas casos de éxito.</w:t>
        </w:r>
      </w:hyperlink>
    </w:p>
    <w:p w14:paraId="4BBF7A1A" w14:textId="3448F954" w:rsidR="002152F9" w:rsidRPr="002152F9" w:rsidRDefault="002152F9" w:rsidP="002152F9">
      <w:pPr>
        <w:rPr>
          <w:rFonts w:ascii="Arial" w:hAnsi="Arial" w:cs="Arial"/>
          <w:b/>
          <w:bCs/>
          <w:sz w:val="24"/>
          <w:szCs w:val="24"/>
        </w:rPr>
      </w:pPr>
      <w:r w:rsidRPr="002152F9">
        <w:rPr>
          <w:rFonts w:ascii="Arial" w:hAnsi="Arial" w:cs="Arial"/>
          <w:b/>
          <w:bCs/>
          <w:sz w:val="24"/>
          <w:szCs w:val="24"/>
        </w:rPr>
        <w:t>Google Cloud Platform (GCP):</w:t>
      </w:r>
    </w:p>
    <w:p w14:paraId="3FEA5670" w14:textId="7ACF09AE" w:rsidR="001C3133" w:rsidRDefault="002152F9" w:rsidP="002152F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hyperlink r:id="rId17" w:history="1">
        <w:r w:rsidRPr="002152F9">
          <w:rPr>
            <w:rStyle w:val="Hipervnculo"/>
            <w:rFonts w:ascii="Arial" w:hAnsi="Arial" w:cs="Arial"/>
            <w:sz w:val="24"/>
            <w:szCs w:val="24"/>
          </w:rPr>
          <w:t>ISB-Cancer Gateway en la nube: compartir terabytes de datos sobre cáncer con el poder de BigQuery</w:t>
        </w:r>
      </w:hyperlink>
    </w:p>
    <w:p w14:paraId="6FBF3B12" w14:textId="2FDA82D5" w:rsidR="002152F9" w:rsidRDefault="002152F9" w:rsidP="002152F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hyperlink r:id="rId18" w:history="1">
        <w:r w:rsidRPr="002152F9">
          <w:rPr>
            <w:rStyle w:val="Hipervnculo"/>
            <w:rFonts w:ascii="Arial" w:hAnsi="Arial" w:cs="Arial"/>
            <w:sz w:val="24"/>
            <w:szCs w:val="24"/>
          </w:rPr>
          <w:t>Costa Mesa Sanitary District improves manhole maintenance with machine learning</w:t>
        </w:r>
      </w:hyperlink>
    </w:p>
    <w:p w14:paraId="002F8F65" w14:textId="1931CAA2" w:rsidR="002152F9" w:rsidRDefault="002152F9" w:rsidP="002152F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hyperlink r:id="rId19" w:history="1">
        <w:r w:rsidRPr="002152F9">
          <w:rPr>
            <w:rStyle w:val="Hipervnculo"/>
            <w:rFonts w:ascii="Arial" w:hAnsi="Arial" w:cs="Arial"/>
            <w:sz w:val="24"/>
            <w:szCs w:val="24"/>
          </w:rPr>
          <w:t>Recuperación económica: Wisconsin se apoya en Google Cloud para servir mejor a su comunidad durante la COVID-19 y más allá</w:t>
        </w:r>
      </w:hyperlink>
    </w:p>
    <w:p w14:paraId="378CD548" w14:textId="5E1B30DC" w:rsidR="002152F9" w:rsidRDefault="0017215B" w:rsidP="002152F9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hyperlink r:id="rId20" w:history="1">
        <w:r w:rsidRPr="0017215B">
          <w:rPr>
            <w:rStyle w:val="Hipervnculo"/>
            <w:rFonts w:ascii="Arial" w:hAnsi="Arial" w:cs="Arial"/>
            <w:sz w:val="24"/>
            <w:szCs w:val="24"/>
          </w:rPr>
          <w:t>La ciudad de Pittsburgh migra a Google Cloud</w:t>
        </w:r>
      </w:hyperlink>
    </w:p>
    <w:p w14:paraId="11E7B61D" w14:textId="395ED9CC" w:rsidR="0017215B" w:rsidRPr="0017215B" w:rsidRDefault="0017215B" w:rsidP="002152F9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hyperlink r:id="rId21" w:history="1">
        <w:r w:rsidRPr="0017215B">
          <w:rPr>
            <w:rStyle w:val="Hipervnculo"/>
            <w:rFonts w:ascii="Arial" w:hAnsi="Arial" w:cs="Arial"/>
            <w:b/>
            <w:bCs/>
            <w:sz w:val="24"/>
            <w:szCs w:val="24"/>
          </w:rPr>
          <w:t>Mas casos de exito</w:t>
        </w:r>
      </w:hyperlink>
    </w:p>
    <w:sectPr w:rsidR="0017215B" w:rsidRPr="0017215B" w:rsidSect="00A1370F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0BFBE" w14:textId="77777777" w:rsidR="00A1370F" w:rsidRDefault="00A1370F" w:rsidP="00D04C89">
      <w:pPr>
        <w:spacing w:after="0" w:line="240" w:lineRule="auto"/>
      </w:pPr>
      <w:r>
        <w:separator/>
      </w:r>
    </w:p>
  </w:endnote>
  <w:endnote w:type="continuationSeparator" w:id="0">
    <w:p w14:paraId="4DE5A68E" w14:textId="77777777" w:rsidR="00A1370F" w:rsidRDefault="00A1370F" w:rsidP="00D0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C87D" w14:textId="708CDA72" w:rsidR="00D04C89" w:rsidRDefault="00D04C89">
    <w:pPr>
      <w:pStyle w:val="Piedepgina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4E1442D" wp14:editId="6B8E0FBE">
          <wp:simplePos x="0" y="0"/>
          <wp:positionH relativeFrom="margin">
            <wp:posOffset>-323850</wp:posOffset>
          </wp:positionH>
          <wp:positionV relativeFrom="paragraph">
            <wp:posOffset>-334010</wp:posOffset>
          </wp:positionV>
          <wp:extent cx="1162050" cy="716915"/>
          <wp:effectExtent l="0" t="0" r="0" b="6985"/>
          <wp:wrapThrough wrapText="bothSides">
            <wp:wrapPolygon edited="0">
              <wp:start x="0" y="0"/>
              <wp:lineTo x="0" y="21236"/>
              <wp:lineTo x="21246" y="21236"/>
              <wp:lineTo x="21246" y="0"/>
              <wp:lineTo x="0" y="0"/>
            </wp:wrapPolygon>
          </wp:wrapThrough>
          <wp:docPr id="596878722" name="Imagen 1" descr="Partner de AWS | Root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tner de AWS | Rootstac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725" t="27832" r="26850" b="29854"/>
                  <a:stretch/>
                </pic:blipFill>
                <pic:spPr bwMode="auto">
                  <a:xfrm>
                    <a:off x="0" y="0"/>
                    <a:ext cx="116205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321DD7F5" wp14:editId="508DD0BF">
          <wp:simplePos x="0" y="0"/>
          <wp:positionH relativeFrom="margin">
            <wp:posOffset>1409700</wp:posOffset>
          </wp:positionH>
          <wp:positionV relativeFrom="paragraph">
            <wp:posOffset>-254635</wp:posOffset>
          </wp:positionV>
          <wp:extent cx="2857500" cy="638175"/>
          <wp:effectExtent l="0" t="0" r="0" b="0"/>
          <wp:wrapThrough wrapText="bothSides">
            <wp:wrapPolygon edited="0">
              <wp:start x="1008" y="1290"/>
              <wp:lineTo x="144" y="12896"/>
              <wp:lineTo x="0" y="16119"/>
              <wp:lineTo x="144" y="19343"/>
              <wp:lineTo x="3600" y="19343"/>
              <wp:lineTo x="21168" y="15475"/>
              <wp:lineTo x="21456" y="12896"/>
              <wp:lineTo x="21312" y="7093"/>
              <wp:lineTo x="2736" y="1290"/>
              <wp:lineTo x="1008" y="1290"/>
            </wp:wrapPolygon>
          </wp:wrapThrough>
          <wp:docPr id="95063965" name="Imagen 2" descr="Logotipo de Microsoft Azure PNG transparente - Stick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 de Microsoft Azure PNG transparente - Stick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334" b="38333"/>
                  <a:stretch/>
                </pic:blipFill>
                <pic:spPr bwMode="auto">
                  <a:xfrm>
                    <a:off x="0" y="0"/>
                    <a:ext cx="28575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207DFD3D" wp14:editId="2F970B00">
          <wp:simplePos x="0" y="0"/>
          <wp:positionH relativeFrom="page">
            <wp:posOffset>5613400</wp:posOffset>
          </wp:positionH>
          <wp:positionV relativeFrom="paragraph">
            <wp:posOffset>-381000</wp:posOffset>
          </wp:positionV>
          <wp:extent cx="1621155" cy="916940"/>
          <wp:effectExtent l="0" t="0" r="0" b="0"/>
          <wp:wrapThrough wrapText="bothSides">
            <wp:wrapPolygon edited="0">
              <wp:start x="7615" y="0"/>
              <wp:lineTo x="5330" y="7180"/>
              <wp:lineTo x="7361" y="14360"/>
              <wp:lineTo x="0" y="16604"/>
              <wp:lineTo x="0" y="21091"/>
              <wp:lineTo x="3807" y="21091"/>
              <wp:lineTo x="5838" y="21091"/>
              <wp:lineTo x="21321" y="21091"/>
              <wp:lineTo x="21321" y="17950"/>
              <wp:lineTo x="13960" y="14360"/>
              <wp:lineTo x="15991" y="7180"/>
              <wp:lineTo x="13706" y="0"/>
              <wp:lineTo x="7615" y="0"/>
            </wp:wrapPolygon>
          </wp:wrapThrough>
          <wp:docPr id="1903525700" name="Imagen 3" descr="A Beginner's Beginners Guide to Google Cloud Platform | by Momodu Afegbua | 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 Beginner's Beginners Guide to Google Cloud Platform | by Momodu Afegbua |  Medium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155" cy="91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94A6" w14:textId="77777777" w:rsidR="00A1370F" w:rsidRDefault="00A1370F" w:rsidP="00D04C89">
      <w:pPr>
        <w:spacing w:after="0" w:line="240" w:lineRule="auto"/>
      </w:pPr>
      <w:r>
        <w:separator/>
      </w:r>
    </w:p>
  </w:footnote>
  <w:footnote w:type="continuationSeparator" w:id="0">
    <w:p w14:paraId="4E69128F" w14:textId="77777777" w:rsidR="00A1370F" w:rsidRDefault="00A1370F" w:rsidP="00D0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DC3C" w14:textId="56476A5F" w:rsidR="00D04C89" w:rsidRDefault="00D04C8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30E924" wp14:editId="4D96181E">
          <wp:simplePos x="0" y="0"/>
          <wp:positionH relativeFrom="page">
            <wp:posOffset>5581015</wp:posOffset>
          </wp:positionH>
          <wp:positionV relativeFrom="paragraph">
            <wp:posOffset>-325755</wp:posOffset>
          </wp:positionV>
          <wp:extent cx="1621155" cy="916940"/>
          <wp:effectExtent l="0" t="0" r="0" b="0"/>
          <wp:wrapThrough wrapText="bothSides">
            <wp:wrapPolygon edited="0">
              <wp:start x="7615" y="0"/>
              <wp:lineTo x="5330" y="7180"/>
              <wp:lineTo x="7361" y="14360"/>
              <wp:lineTo x="0" y="16604"/>
              <wp:lineTo x="0" y="21091"/>
              <wp:lineTo x="3807" y="21091"/>
              <wp:lineTo x="5838" y="21091"/>
              <wp:lineTo x="21321" y="21091"/>
              <wp:lineTo x="21321" y="17950"/>
              <wp:lineTo x="13960" y="14360"/>
              <wp:lineTo x="15991" y="7180"/>
              <wp:lineTo x="13706" y="0"/>
              <wp:lineTo x="7615" y="0"/>
            </wp:wrapPolygon>
          </wp:wrapThrough>
          <wp:docPr id="712373044" name="Imagen 3" descr="A Beginner's Beginners Guide to Google Cloud Platform | by Momodu Afegbua | 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 Beginner's Beginners Guide to Google Cloud Platform | by Momodu Afegbua |  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155" cy="91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3B15BF1" wp14:editId="12774E80">
          <wp:simplePos x="0" y="0"/>
          <wp:positionH relativeFrom="margin">
            <wp:posOffset>-356235</wp:posOffset>
          </wp:positionH>
          <wp:positionV relativeFrom="paragraph">
            <wp:posOffset>-278765</wp:posOffset>
          </wp:positionV>
          <wp:extent cx="1162050" cy="716915"/>
          <wp:effectExtent l="0" t="0" r="0" b="6985"/>
          <wp:wrapThrough wrapText="bothSides">
            <wp:wrapPolygon edited="0">
              <wp:start x="0" y="0"/>
              <wp:lineTo x="0" y="21236"/>
              <wp:lineTo x="21246" y="21236"/>
              <wp:lineTo x="21246" y="0"/>
              <wp:lineTo x="0" y="0"/>
            </wp:wrapPolygon>
          </wp:wrapThrough>
          <wp:docPr id="1189336537" name="Imagen 1" descr="Partner de AWS | Root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tner de AWS | Rootstack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725" t="27832" r="26850" b="29854"/>
                  <a:stretch/>
                </pic:blipFill>
                <pic:spPr bwMode="auto">
                  <a:xfrm>
                    <a:off x="0" y="0"/>
                    <a:ext cx="116205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8AE8516" wp14:editId="4AC6AD8F">
          <wp:simplePos x="0" y="0"/>
          <wp:positionH relativeFrom="margin">
            <wp:align>center</wp:align>
          </wp:positionH>
          <wp:positionV relativeFrom="paragraph">
            <wp:posOffset>-199390</wp:posOffset>
          </wp:positionV>
          <wp:extent cx="2857500" cy="638175"/>
          <wp:effectExtent l="0" t="0" r="0" b="0"/>
          <wp:wrapThrough wrapText="bothSides">
            <wp:wrapPolygon edited="0">
              <wp:start x="1008" y="1290"/>
              <wp:lineTo x="144" y="12896"/>
              <wp:lineTo x="0" y="16119"/>
              <wp:lineTo x="144" y="19343"/>
              <wp:lineTo x="3600" y="19343"/>
              <wp:lineTo x="21168" y="15475"/>
              <wp:lineTo x="21456" y="12896"/>
              <wp:lineTo x="21312" y="7093"/>
              <wp:lineTo x="2736" y="1290"/>
              <wp:lineTo x="1008" y="1290"/>
            </wp:wrapPolygon>
          </wp:wrapThrough>
          <wp:docPr id="617428054" name="Imagen 2" descr="Logotipo de Microsoft Azure PNG transparente - Stick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tipo de Microsoft Azure PNG transparente - StickPN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334" b="38333"/>
                  <a:stretch/>
                </pic:blipFill>
                <pic:spPr bwMode="auto">
                  <a:xfrm>
                    <a:off x="0" y="0"/>
                    <a:ext cx="28575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6E3"/>
    <w:multiLevelType w:val="hybridMultilevel"/>
    <w:tmpl w:val="CD084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474D"/>
    <w:multiLevelType w:val="hybridMultilevel"/>
    <w:tmpl w:val="5504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5535"/>
    <w:multiLevelType w:val="hybridMultilevel"/>
    <w:tmpl w:val="26DAC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44F07"/>
    <w:multiLevelType w:val="hybridMultilevel"/>
    <w:tmpl w:val="F6DE6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27BA4"/>
    <w:multiLevelType w:val="hybridMultilevel"/>
    <w:tmpl w:val="2AD45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F6A86"/>
    <w:multiLevelType w:val="hybridMultilevel"/>
    <w:tmpl w:val="E8D25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60B9"/>
    <w:multiLevelType w:val="hybridMultilevel"/>
    <w:tmpl w:val="B9580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E7B31"/>
    <w:multiLevelType w:val="hybridMultilevel"/>
    <w:tmpl w:val="C0BEB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86941"/>
    <w:multiLevelType w:val="hybridMultilevel"/>
    <w:tmpl w:val="714C0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F316E"/>
    <w:multiLevelType w:val="hybridMultilevel"/>
    <w:tmpl w:val="F56A7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90080"/>
    <w:multiLevelType w:val="hybridMultilevel"/>
    <w:tmpl w:val="D02E3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752BF"/>
    <w:multiLevelType w:val="hybridMultilevel"/>
    <w:tmpl w:val="67C45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985836">
    <w:abstractNumId w:val="7"/>
  </w:num>
  <w:num w:numId="2" w16cid:durableId="165824736">
    <w:abstractNumId w:val="10"/>
  </w:num>
  <w:num w:numId="3" w16cid:durableId="930314251">
    <w:abstractNumId w:val="1"/>
  </w:num>
  <w:num w:numId="4" w16cid:durableId="933170170">
    <w:abstractNumId w:val="4"/>
  </w:num>
  <w:num w:numId="5" w16cid:durableId="1617176448">
    <w:abstractNumId w:val="3"/>
  </w:num>
  <w:num w:numId="6" w16cid:durableId="732893073">
    <w:abstractNumId w:val="8"/>
  </w:num>
  <w:num w:numId="7" w16cid:durableId="2038115627">
    <w:abstractNumId w:val="11"/>
  </w:num>
  <w:num w:numId="8" w16cid:durableId="962810206">
    <w:abstractNumId w:val="5"/>
  </w:num>
  <w:num w:numId="9" w16cid:durableId="1454981131">
    <w:abstractNumId w:val="2"/>
  </w:num>
  <w:num w:numId="10" w16cid:durableId="388266627">
    <w:abstractNumId w:val="6"/>
  </w:num>
  <w:num w:numId="11" w16cid:durableId="2137526346">
    <w:abstractNumId w:val="0"/>
  </w:num>
  <w:num w:numId="12" w16cid:durableId="1378236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95"/>
    <w:rsid w:val="00047695"/>
    <w:rsid w:val="000D75EC"/>
    <w:rsid w:val="0017215B"/>
    <w:rsid w:val="001868C9"/>
    <w:rsid w:val="001C3133"/>
    <w:rsid w:val="002152F9"/>
    <w:rsid w:val="00664CBA"/>
    <w:rsid w:val="008E0169"/>
    <w:rsid w:val="00910F76"/>
    <w:rsid w:val="00A1370F"/>
    <w:rsid w:val="00BC2BB3"/>
    <w:rsid w:val="00D04C89"/>
    <w:rsid w:val="00EB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31E14"/>
  <w15:chartTrackingRefBased/>
  <w15:docId w15:val="{BB6BE7DF-0897-4505-A0F2-C11A2AD0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7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04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C89"/>
  </w:style>
  <w:style w:type="paragraph" w:styleId="Piedepgina">
    <w:name w:val="footer"/>
    <w:basedOn w:val="Normal"/>
    <w:link w:val="PiedepginaCar"/>
    <w:uiPriority w:val="99"/>
    <w:unhideWhenUsed/>
    <w:rsid w:val="00D04C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C89"/>
  </w:style>
  <w:style w:type="paragraph" w:styleId="Prrafodelista">
    <w:name w:val="List Paragraph"/>
    <w:basedOn w:val="Normal"/>
    <w:uiPriority w:val="34"/>
    <w:qFormat/>
    <w:rsid w:val="000D75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31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3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solutions/case-studies/rappi-fin-ops/" TargetMode="External"/><Relationship Id="rId13" Type="http://schemas.openxmlformats.org/officeDocument/2006/relationships/hyperlink" Target="https://customers.microsoft.com/es-mx/story/1599866283716437159-salud-digna-health-provider-azure-es-mexico" TargetMode="External"/><Relationship Id="rId18" Type="http://schemas.openxmlformats.org/officeDocument/2006/relationships/hyperlink" Target="https://cloud.google.com/blog/topics/developers-practitioners/costa-mesa-sanitary-district-improves-manhole-maintenance-machine-learning?hl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gov/customer-success-stories?hl=es" TargetMode="External"/><Relationship Id="rId7" Type="http://schemas.openxmlformats.org/officeDocument/2006/relationships/hyperlink" Target="https://aws.amazon.com/es/solutions/case-studies/grupobimbo/" TargetMode="External"/><Relationship Id="rId12" Type="http://schemas.openxmlformats.org/officeDocument/2006/relationships/hyperlink" Target="https://customers.microsoft.com/es-mx/story/1423193863644293457-nba-media-entertainment-azure-es-xl" TargetMode="External"/><Relationship Id="rId17" Type="http://schemas.openxmlformats.org/officeDocument/2006/relationships/hyperlink" Target="https://cloud.google.com/customers/nci-ni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ustomers.microsoft.com/es-mx/search?sq=&amp;ff=story_product_categories%26%3ECloud%20Platform&amp;p=0&amp;so=story_publish_date%20desc" TargetMode="External"/><Relationship Id="rId20" Type="http://schemas.openxmlformats.org/officeDocument/2006/relationships/hyperlink" Target="https://www.googlecloudpresscorner.com/2021-03-08-The-City-of-Pittsburgh-Migrates-to-Google-Clou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es/solutions/case-studies/?customer-references-cards.sort-by=item.additionalFields.sortDate&amp;customer-references-cards.sort-order=desc&amp;awsf.customer-references-location=*all&amp;awsf.customer-references-industry=*all&amp;awsf.customer-references-use-case=*all&amp;awsf.language=language%23spanish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ustomers.microsoft.com/es-mx/story/1543668842997802780-marti-energy-azure-es-dominican-republic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aws.amazon.com/es/solutions/case-studies/bancamiga/?did=cr_card&amp;trk=cr_card" TargetMode="External"/><Relationship Id="rId19" Type="http://schemas.openxmlformats.org/officeDocument/2006/relationships/hyperlink" Target="https://cloud.google.com/blog/topics/public-sector/economic-recovery-wisconsin-leans-google-cloud-better-serve-its-community-during-covid-19-and-beyond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s/solutions/case-studies/santander-argentina/?did=cr_card&amp;trk=cr_card" TargetMode="External"/><Relationship Id="rId14" Type="http://schemas.openxmlformats.org/officeDocument/2006/relationships/hyperlink" Target="https://customers.microsoft.com/es-mx/story/1657870316740292224-viabcp-banking-capital-markets-azure-es-peru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2184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Gasca Horta</dc:creator>
  <cp:keywords/>
  <dc:description/>
  <cp:lastModifiedBy>Yoel Gasca Horta</cp:lastModifiedBy>
  <cp:revision>2</cp:revision>
  <dcterms:created xsi:type="dcterms:W3CDTF">2024-02-06T04:10:00Z</dcterms:created>
  <dcterms:modified xsi:type="dcterms:W3CDTF">2024-02-10T05:12:00Z</dcterms:modified>
</cp:coreProperties>
</file>