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5018" w:rsidRPr="007F768D" w:rsidRDefault="00000000">
      <w:pPr>
        <w:pStyle w:val="Heading1"/>
        <w:rPr>
          <w:color w:val="FF0000"/>
        </w:rPr>
      </w:pPr>
      <w:r w:rsidRPr="007F768D">
        <w:rPr>
          <w:color w:val="FF0000"/>
        </w:rPr>
        <w:t>Exercise 6</w:t>
      </w:r>
    </w:p>
    <w:p w:rsidR="00B55018" w:rsidRPr="007F768D" w:rsidRDefault="00000000">
      <w:pPr>
        <w:pStyle w:val="Heading2"/>
        <w:rPr>
          <w:color w:val="FF0000"/>
        </w:rPr>
      </w:pPr>
      <w:r w:rsidRPr="007F768D">
        <w:rPr>
          <w:color w:val="FF0000"/>
        </w:rPr>
        <w:t>Network Choice</w:t>
      </w:r>
    </w:p>
    <w:p w:rsidR="00B55018" w:rsidRPr="007F768D" w:rsidRDefault="00000000">
      <w:pPr>
        <w:rPr>
          <w:color w:val="548DD4" w:themeColor="text2" w:themeTint="99"/>
        </w:rPr>
      </w:pPr>
      <w:r w:rsidRPr="007F768D">
        <w:rPr>
          <w:color w:val="548DD4" w:themeColor="text2" w:themeTint="99"/>
        </w:rPr>
        <w:t>Network: my_network</w:t>
      </w:r>
      <w:r w:rsidRPr="007F768D">
        <w:rPr>
          <w:color w:val="548DD4" w:themeColor="text2" w:themeTint="99"/>
        </w:rPr>
        <w:br/>
        <w:t>Filter used: --jurisdiction "British Virgin Islands" --max-nodes 5000</w:t>
      </w:r>
      <w:r w:rsidRPr="007F768D">
        <w:rPr>
          <w:color w:val="548DD4" w:themeColor="text2" w:themeTint="99"/>
        </w:rPr>
        <w:br/>
        <w:t>Description: I chose to explore a 5,000-node subgraph filtered by the British Virgin Islands (BVI) jurisdiction. BVI is one of the most heavily used offshore jurisdictions in the Panama Papers ecosystem, so this filter allows comparison between a jurisdiction-centered network and the broader Panama default network. Using --max-nodes 5000 kept the graph size manageable while still capturing meaningful structure.</w:t>
      </w:r>
    </w:p>
    <w:p w:rsidR="00B55018" w:rsidRPr="007F768D" w:rsidRDefault="00000000">
      <w:pPr>
        <w:pStyle w:val="Heading2"/>
        <w:rPr>
          <w:color w:val="FF0000"/>
        </w:rPr>
      </w:pPr>
      <w:r w:rsidRPr="007F768D">
        <w:rPr>
          <w:color w:val="FF0000"/>
        </w:rPr>
        <w:t>1. Network Structure</w:t>
      </w:r>
    </w:p>
    <w:p w:rsidR="00B55018" w:rsidRPr="007F768D" w:rsidRDefault="00000000">
      <w:pPr>
        <w:rPr>
          <w:color w:val="548DD4" w:themeColor="text2" w:themeTint="99"/>
        </w:rPr>
      </w:pPr>
      <w:r w:rsidRPr="007F768D">
        <w:rPr>
          <w:color w:val="548DD4" w:themeColor="text2" w:themeTint="99"/>
        </w:rPr>
        <w:t>The BVI network is denser than the Panama small network, with 8,996 edges compared to 6,628 and a higher edge/node ratio (1.80 vs 1.33). It also has a higher average degree (3.60 vs 2.65) and a larger maximum degree (353 vs 250), indicating stronger hub concentration. While both networks are dominated by entity nodes (~99.6%), the BVI graph contains slightly more officer involvement and significantly more shared_connection edges, suggesting more cross-linking among entities.</w:t>
      </w:r>
    </w:p>
    <w:p w:rsidR="00B55018" w:rsidRPr="007F768D" w:rsidRDefault="00000000">
      <w:pPr>
        <w:pStyle w:val="Heading2"/>
        <w:rPr>
          <w:color w:val="FF0000"/>
        </w:rPr>
      </w:pPr>
      <w:r w:rsidRPr="007F768D">
        <w:rPr>
          <w:color w:val="FF0000"/>
        </w:rPr>
        <w:t>2. MST Comparison</w:t>
      </w:r>
    </w:p>
    <w:p w:rsidR="00B55018" w:rsidRPr="007F768D" w:rsidRDefault="00000000">
      <w:pPr>
        <w:rPr>
          <w:color w:val="548DD4" w:themeColor="text2" w:themeTint="99"/>
        </w:rPr>
      </w:pPr>
      <w:r w:rsidRPr="007F768D">
        <w:rPr>
          <w:color w:val="548DD4" w:themeColor="text2" w:themeTint="99"/>
        </w:rPr>
        <w:t>The BVI network has a lower total MST weight (9,384.9608) and a lower average MST edge weight (1.8774) compared to Panama’s average of 2.1992. This indicates that connections in the BVI network are slightly tighter or structurally cheaper. Kruskal and Prim performed similarly on both networks; in BVI, Prim was slightly faster (0.0045s vs 0.0051s), while Panama showed nearly identical performance.</w:t>
      </w:r>
    </w:p>
    <w:p w:rsidR="00B55018" w:rsidRPr="007F768D" w:rsidRDefault="00000000">
      <w:pPr>
        <w:pStyle w:val="Heading2"/>
        <w:rPr>
          <w:color w:val="FF0000"/>
        </w:rPr>
      </w:pPr>
      <w:r w:rsidRPr="007F768D">
        <w:rPr>
          <w:color w:val="FF0000"/>
        </w:rPr>
        <w:t>3. Cut Properties</w:t>
      </w:r>
    </w:p>
    <w:p w:rsidR="00B55018" w:rsidRPr="007F768D" w:rsidRDefault="00000000">
      <w:pPr>
        <w:rPr>
          <w:color w:val="548DD4" w:themeColor="text2" w:themeTint="99"/>
        </w:rPr>
      </w:pPr>
      <w:r w:rsidRPr="007F768D">
        <w:rPr>
          <w:color w:val="548DD4" w:themeColor="text2" w:themeTint="99"/>
        </w:rPr>
        <w:t>The Blue Rule held for all 10 random cuts in the BVI network, confirming MST correctness. The jurisdictional cut separating BVI and PMA revealed a minimum crossing edge with weight 1.0009 (officer_of), connecting COSCO INTERNATIONAL OFFSHORE LIMITED and Portcullis TrustNet (BVI) Limited. This edge represents a key structural bridge between jurisdictions.</w:t>
      </w:r>
    </w:p>
    <w:p w:rsidR="00B55018" w:rsidRPr="007F768D" w:rsidRDefault="00000000">
      <w:pPr>
        <w:pStyle w:val="Heading2"/>
        <w:rPr>
          <w:color w:val="FF0000"/>
        </w:rPr>
      </w:pPr>
      <w:r w:rsidRPr="007F768D">
        <w:rPr>
          <w:color w:val="FF0000"/>
        </w:rPr>
        <w:t>4. Clustering</w:t>
      </w:r>
    </w:p>
    <w:p w:rsidR="00B55018" w:rsidRPr="007F768D" w:rsidRDefault="00000000">
      <w:pPr>
        <w:rPr>
          <w:color w:val="548DD4" w:themeColor="text2" w:themeTint="99"/>
        </w:rPr>
      </w:pPr>
      <w:r w:rsidRPr="007F768D">
        <w:rPr>
          <w:color w:val="548DD4" w:themeColor="text2" w:themeTint="99"/>
        </w:rPr>
        <w:t>MST-based clustering produced more balanced partitions in BVI than in Panama. For k=5, BVI clusters ranged from 500 to 1,750 nodes (ratio 3.5x), whereas Panama had one dominant 4,000-node cluster (ratio 16x). BVI clusters appear more jurisdictionally mixed, suggesting cross-border structuring rather than a single dominant core. The removed high-weight MST edges (~6.70) correspond to shared_connection relationships, which act as natural community boundaries.</w:t>
      </w:r>
    </w:p>
    <w:p w:rsidR="00B55018" w:rsidRPr="007F768D" w:rsidRDefault="00000000">
      <w:pPr>
        <w:pStyle w:val="Heading2"/>
        <w:rPr>
          <w:color w:val="FF0000"/>
        </w:rPr>
      </w:pPr>
      <w:r w:rsidRPr="007F768D">
        <w:rPr>
          <w:color w:val="FF0000"/>
        </w:rPr>
        <w:lastRenderedPageBreak/>
        <w:t>5. Surprising Finding</w:t>
      </w:r>
    </w:p>
    <w:p w:rsidR="00B55018" w:rsidRPr="007F768D" w:rsidRDefault="00000000">
      <w:pPr>
        <w:rPr>
          <w:color w:val="548DD4" w:themeColor="text2" w:themeTint="99"/>
        </w:rPr>
      </w:pPr>
      <w:r w:rsidRPr="007F768D">
        <w:rPr>
          <w:color w:val="548DD4" w:themeColor="text2" w:themeTint="99"/>
        </w:rPr>
        <w:t>The most surprising finding was how much more interconnected the BVI network is compared to Panama, despite both having 5,000 nodes. The MST revealed that intermediary_of and officer_of relationships form the structural backbone, while many shared_connection edges are redundant. Without the MST, the raw edge count would not clearly show which connections are essential versus structurally redundant.</w:t>
      </w:r>
    </w:p>
    <w:sectPr w:rsidR="00B55018" w:rsidRPr="007F76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766342">
    <w:abstractNumId w:val="8"/>
  </w:num>
  <w:num w:numId="2" w16cid:durableId="636376467">
    <w:abstractNumId w:val="6"/>
  </w:num>
  <w:num w:numId="3" w16cid:durableId="510921670">
    <w:abstractNumId w:val="5"/>
  </w:num>
  <w:num w:numId="4" w16cid:durableId="1812551044">
    <w:abstractNumId w:val="4"/>
  </w:num>
  <w:num w:numId="5" w16cid:durableId="105394656">
    <w:abstractNumId w:val="7"/>
  </w:num>
  <w:num w:numId="6" w16cid:durableId="711080207">
    <w:abstractNumId w:val="3"/>
  </w:num>
  <w:num w:numId="7" w16cid:durableId="1475635749">
    <w:abstractNumId w:val="2"/>
  </w:num>
  <w:num w:numId="8" w16cid:durableId="1026254621">
    <w:abstractNumId w:val="1"/>
  </w:num>
  <w:num w:numId="9" w16cid:durableId="160217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768D"/>
    <w:rsid w:val="00AA1D8D"/>
    <w:rsid w:val="00B47730"/>
    <w:rsid w:val="00B55018"/>
    <w:rsid w:val="00CB0664"/>
    <w:rsid w:val="00F405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29DA1"/>
  <w14:defaultImageDpi w14:val="300"/>
  <w15:docId w15:val="{0E095BF0-CCEF-0B46-9C89-512E065ED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Ghebremichael, Yoel (MU-Student)</cp:lastModifiedBy>
  <cp:revision>2</cp:revision>
  <dcterms:created xsi:type="dcterms:W3CDTF">2013-12-23T23:15:00Z</dcterms:created>
  <dcterms:modified xsi:type="dcterms:W3CDTF">2026-02-21T04:31:00Z</dcterms:modified>
  <cp:category/>
</cp:coreProperties>
</file>