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7F8F" w:rsidRPr="00D81AAD" w:rsidRDefault="00000000">
      <w:pPr>
        <w:pStyle w:val="Heading1"/>
        <w:rPr>
          <w:color w:val="FF0000"/>
        </w:rPr>
      </w:pPr>
      <w:r w:rsidRPr="00D81AAD">
        <w:rPr>
          <w:color w:val="FF0000"/>
        </w:rPr>
        <w:t>Reflection</w:t>
      </w:r>
    </w:p>
    <w:p w:rsidR="00527F8F" w:rsidRPr="00D81AAD" w:rsidRDefault="00000000">
      <w:pPr>
        <w:rPr>
          <w:color w:val="548DD4" w:themeColor="text2" w:themeTint="99"/>
        </w:rPr>
      </w:pPr>
      <w:r w:rsidRPr="00D81AAD">
        <w:rPr>
          <w:color w:val="548DD4" w:themeColor="text2" w:themeTint="99"/>
        </w:rPr>
        <w:t>What surprised me about the Panama Papers subgraph was how strongly “hub-and-spoke” it became once it was filtered and sampled. Even though the final graph has only 5,000 nodes and 6,628 edges (edge/node ratio 1.33), the construction process quickly revealed dominant intermediaries that act like high-degree centers</w:t>
      </w:r>
      <w:r w:rsidR="00286C09">
        <w:rPr>
          <w:color w:val="548DD4" w:themeColor="text2" w:themeTint="99"/>
        </w:rPr>
        <w:t xml:space="preserve">. </w:t>
      </w:r>
      <w:r w:rsidRPr="00D81AAD">
        <w:rPr>
          <w:color w:val="548DD4" w:themeColor="text2" w:themeTint="99"/>
        </w:rPr>
        <w:t>Another striking detail is the node-type distribution: 4,980 entities vs only 19 intermediaries and 1 officer, which makes the network feel like many entities organized around a very small set of service providers. The edge weights also span a noticeable range (min 1.0006, max 6.7073, mean 2.7315), suggesting that not all links represent the same “strength” of connection.</w:t>
      </w:r>
    </w:p>
    <w:p w:rsidR="00527F8F" w:rsidRPr="00D81AAD" w:rsidRDefault="00000000">
      <w:pPr>
        <w:rPr>
          <w:color w:val="548DD4" w:themeColor="text2" w:themeTint="99"/>
        </w:rPr>
      </w:pPr>
      <w:r w:rsidRPr="00D81AAD">
        <w:rPr>
          <w:color w:val="548DD4" w:themeColor="text2" w:themeTint="99"/>
        </w:rPr>
        <w:t>The MST helped reveal structure that raw edge lists don’t because it strips the network down to a single “backbone” of essential connections. A raw edge list (6,628 edges here) includes many redundant local ties; it’s hard to see which links matter most for keeping the network connected. In contrast, the MST highlights the cheapest set of edges that still spans all nodes, so the few heaviest MST edges become natural candidates for separating communities. That’s exactly what showed up in clustering: removing two very heavy MST edges (~6.707) immediately split off sizable groups, while later cuts happened around ~4.01, indicating a hierarchy of separations. In other words, the MST exposes a layered community structure and makes cross-community “bridges” stand out in a way that’s almost impossible to see by scanning the edge list.</w:t>
      </w:r>
    </w:p>
    <w:sectPr w:rsidR="00527F8F" w:rsidRPr="00D81A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009376">
    <w:abstractNumId w:val="8"/>
  </w:num>
  <w:num w:numId="2" w16cid:durableId="1345131678">
    <w:abstractNumId w:val="6"/>
  </w:num>
  <w:num w:numId="3" w16cid:durableId="1282105164">
    <w:abstractNumId w:val="5"/>
  </w:num>
  <w:num w:numId="4" w16cid:durableId="1416590206">
    <w:abstractNumId w:val="4"/>
  </w:num>
  <w:num w:numId="5" w16cid:durableId="2054576677">
    <w:abstractNumId w:val="7"/>
  </w:num>
  <w:num w:numId="6" w16cid:durableId="420108624">
    <w:abstractNumId w:val="3"/>
  </w:num>
  <w:num w:numId="7" w16cid:durableId="809399022">
    <w:abstractNumId w:val="2"/>
  </w:num>
  <w:num w:numId="8" w16cid:durableId="159390621">
    <w:abstractNumId w:val="1"/>
  </w:num>
  <w:num w:numId="9" w16cid:durableId="79209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C09"/>
    <w:rsid w:val="0029639D"/>
    <w:rsid w:val="00326F90"/>
    <w:rsid w:val="00527F8F"/>
    <w:rsid w:val="00AA1D8D"/>
    <w:rsid w:val="00B47730"/>
    <w:rsid w:val="00CB0664"/>
    <w:rsid w:val="00D81AAD"/>
    <w:rsid w:val="00F40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B5797"/>
  <w14:defaultImageDpi w14:val="300"/>
  <w15:docId w15:val="{0E095BF0-CCEF-0B46-9C89-512E065E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Ghebremichael, Yoel (MU-Student)</cp:lastModifiedBy>
  <cp:revision>3</cp:revision>
  <dcterms:created xsi:type="dcterms:W3CDTF">2013-12-23T23:15:00Z</dcterms:created>
  <dcterms:modified xsi:type="dcterms:W3CDTF">2026-02-21T04:32:00Z</dcterms:modified>
  <cp:category/>
</cp:coreProperties>
</file>