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word/_rels/fontTable.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fonts/font1.odttf" ContentType="application/vnd.openxmlformats-officedocument.obfuscatedFont"/>
  <Override PartName="/word/fonts/font7.odttf" ContentType="application/vnd.openxmlformats-officedocument.obfuscatedFont"/>
  <Override PartName="/word/fonts/font2.odttf" ContentType="application/vnd.openxmlformats-officedocument.obfuscatedFont"/>
  <Override PartName="/word/fonts/font11.odttf" ContentType="application/vnd.openxmlformats-officedocument.obfuscatedFont"/>
  <Override PartName="/word/fonts/font3.odttf" ContentType="application/vnd.openxmlformats-officedocument.obfuscatedFont"/>
  <Override PartName="/word/fonts/font9.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8.odttf" ContentType="application/vnd.openxmlformats-officedocument.obfuscatedFont"/>
  <Override PartName="/word/fonts/font10.odttf" ContentType="application/vnd.openxmlformats-officedocument.obfuscatedFont"/>
  <Override PartName="/word/fonts/font12.odttf" ContentType="application/vnd.openxmlformats-officedocument.obfuscatedFont"/>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1"/>
        <w:spacing w:lineRule="auto" w:line="240" w:before="0" w:after="0"/>
        <w:jc w:val="center"/>
        <w:rPr>
          <w:b/>
          <w:b/>
          <w:bCs/>
          <w:sz w:val="24"/>
          <w:szCs w:val="24"/>
        </w:rPr>
      </w:pPr>
      <w:r>
        <w:rPr>
          <w:b/>
          <w:bCs/>
          <w:sz w:val="24"/>
          <w:szCs w:val="24"/>
        </w:rPr>
        <w:t>Project Design Phase</w:t>
      </w:r>
    </w:p>
    <w:p>
      <w:pPr>
        <w:pStyle w:val="Normal1"/>
        <w:spacing w:lineRule="auto" w:line="240" w:before="0" w:after="0"/>
        <w:jc w:val="center"/>
        <w:rPr>
          <w:b/>
          <w:b/>
          <w:bCs/>
          <w:sz w:val="24"/>
          <w:szCs w:val="24"/>
        </w:rPr>
      </w:pPr>
      <w:r>
        <w:rPr>
          <w:b/>
          <w:bCs/>
          <w:sz w:val="24"/>
          <w:szCs w:val="24"/>
        </w:rPr>
        <w:t>Proposed Solution Template</w:t>
      </w:r>
    </w:p>
    <w:p>
      <w:pPr>
        <w:pStyle w:val="Normal1"/>
        <w:spacing w:lineRule="auto" w:line="240" w:before="0" w:after="0"/>
        <w:jc w:val="center"/>
        <w:rPr>
          <w:b/>
          <w:b/>
          <w:bCs/>
        </w:rPr>
      </w:pPr>
      <w:r>
        <w:rPr>
          <w:b/>
          <w:bCs/>
        </w:rPr>
      </w:r>
    </w:p>
    <w:tbl>
      <w:tblPr>
        <w:tblStyle w:val="Table1"/>
        <w:tblW w:w="9030" w:type="dxa"/>
        <w:jc w:val="left"/>
        <w:tblInd w:w="0" w:type="dxa"/>
        <w:tblCellMar>
          <w:top w:w="0" w:type="dxa"/>
          <w:left w:w="108" w:type="dxa"/>
          <w:bottom w:w="0" w:type="dxa"/>
          <w:right w:w="108" w:type="dxa"/>
        </w:tblCellMar>
        <w:tblLook w:val="0400"/>
      </w:tblPr>
      <w:tblGrid>
        <w:gridCol w:w="4694"/>
        <w:gridCol w:w="4335"/>
      </w:tblGrid>
      <w:tr>
        <w:trPr/>
        <w:tc>
          <w:tcPr>
            <w:tcW w:w="4694"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t>Date</w:t>
            </w:r>
          </w:p>
        </w:tc>
        <w:tc>
          <w:tcPr>
            <w:tcW w:w="4335"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t>25</w:t>
            </w:r>
            <w:r>
              <w:rPr/>
              <w:t xml:space="preserve"> </w:t>
            </w:r>
            <w:r>
              <w:rPr/>
              <w:t>june</w:t>
            </w:r>
            <w:r>
              <w:rPr/>
              <w:t xml:space="preserve"> 202</w:t>
            </w:r>
            <w:r>
              <w:rPr/>
              <w:t>6</w:t>
            </w:r>
          </w:p>
        </w:tc>
      </w:tr>
      <w:tr>
        <w:trPr/>
        <w:tc>
          <w:tcPr>
            <w:tcW w:w="4694"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t>Team ID</w:t>
            </w:r>
          </w:p>
        </w:tc>
        <w:tc>
          <w:tcPr>
            <w:tcW w:w="4335"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t>SB_2026_NutriAssist_01</w:t>
            </w:r>
          </w:p>
        </w:tc>
      </w:tr>
      <w:tr>
        <w:trPr/>
        <w:tc>
          <w:tcPr>
            <w:tcW w:w="4694"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t>Project Name</w:t>
            </w:r>
          </w:p>
        </w:tc>
        <w:tc>
          <w:tcPr>
            <w:tcW w:w="4335"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t>NutriAssist — Personalized Nutrition Assistant</w:t>
            </w:r>
          </w:p>
        </w:tc>
      </w:tr>
      <w:tr>
        <w:trPr/>
        <w:tc>
          <w:tcPr>
            <w:tcW w:w="4694"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t>Maximum Marks</w:t>
            </w:r>
          </w:p>
        </w:tc>
        <w:tc>
          <w:tcPr>
            <w:tcW w:w="4335"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t>2 Marks</w:t>
            </w:r>
          </w:p>
        </w:tc>
      </w:tr>
    </w:tbl>
    <w:p>
      <w:pPr>
        <w:pStyle w:val="Normal1"/>
        <w:rPr>
          <w:b/>
          <w:b/>
          <w:bCs/>
        </w:rPr>
      </w:pPr>
      <w:r>
        <w:rPr>
          <w:b/>
          <w:bCs/>
        </w:rPr>
      </w:r>
    </w:p>
    <w:p>
      <w:pPr>
        <w:pStyle w:val="Normal1"/>
        <w:rPr>
          <w:b/>
          <w:b/>
          <w:bCs/>
        </w:rPr>
      </w:pPr>
      <w:r>
        <w:rPr>
          <w:b/>
          <w:bCs/>
        </w:rPr>
        <w:t>Proposed Solution Template:</w:t>
      </w:r>
    </w:p>
    <w:p>
      <w:pPr>
        <w:pStyle w:val="Normal1"/>
        <w:rPr/>
      </w:pPr>
      <w:r>
        <w:rPr/>
        <w:t>Project team shall fill the following information in the proposed solution template.</w:t>
      </w:r>
    </w:p>
    <w:tbl>
      <w:tblPr>
        <w:tblStyle w:val="Table2"/>
        <w:tblW w:w="9075" w:type="dxa"/>
        <w:jc w:val="left"/>
        <w:tblInd w:w="0" w:type="dxa"/>
        <w:tblCellMar>
          <w:top w:w="0" w:type="dxa"/>
          <w:left w:w="108" w:type="dxa"/>
          <w:bottom w:w="0" w:type="dxa"/>
          <w:right w:w="108" w:type="dxa"/>
        </w:tblCellMar>
        <w:tblLook w:val="0400"/>
      </w:tblPr>
      <w:tblGrid>
        <w:gridCol w:w="854"/>
        <w:gridCol w:w="3706"/>
        <w:gridCol w:w="4515"/>
      </w:tblGrid>
      <w:tr>
        <w:trPr>
          <w:trHeight w:val="557" w:hRule="atLeast"/>
        </w:trPr>
        <w:tc>
          <w:tcPr>
            <w:tcW w:w="854" w:type="dxa"/>
            <w:tcBorders>
              <w:top w:val="single" w:sz="4" w:space="0" w:color="000000"/>
              <w:left w:val="single" w:sz="4" w:space="0" w:color="000000"/>
              <w:bottom w:val="single" w:sz="4" w:space="0" w:color="000000"/>
              <w:right w:val="single" w:sz="4" w:space="0" w:color="000000"/>
            </w:tcBorders>
          </w:tcPr>
          <w:p>
            <w:pPr>
              <w:pStyle w:val="Normal1"/>
              <w:spacing w:before="0" w:after="160"/>
              <w:rPr>
                <w:b/>
                <w:b/>
                <w:bCs/>
              </w:rPr>
            </w:pPr>
            <w:r>
              <w:rPr>
                <w:b/>
                <w:bCs/>
              </w:rPr>
              <w:t>S.No.</w:t>
            </w:r>
          </w:p>
        </w:tc>
        <w:tc>
          <w:tcPr>
            <w:tcW w:w="3706" w:type="dxa"/>
            <w:tcBorders>
              <w:top w:val="single" w:sz="4" w:space="0" w:color="000000"/>
              <w:left w:val="single" w:sz="4" w:space="0" w:color="000000"/>
              <w:bottom w:val="single" w:sz="4" w:space="0" w:color="000000"/>
              <w:right w:val="single" w:sz="4" w:space="0" w:color="000000"/>
            </w:tcBorders>
          </w:tcPr>
          <w:p>
            <w:pPr>
              <w:pStyle w:val="Normal1"/>
              <w:spacing w:before="0" w:after="160"/>
              <w:rPr>
                <w:b/>
                <w:b/>
                <w:bCs/>
              </w:rPr>
            </w:pPr>
            <w:r>
              <w:rPr>
                <w:b/>
                <w:bCs/>
              </w:rPr>
              <w:t>Parameter</w:t>
            </w:r>
          </w:p>
        </w:tc>
        <w:tc>
          <w:tcPr>
            <w:tcW w:w="4515" w:type="dxa"/>
            <w:tcBorders>
              <w:top w:val="single" w:sz="4" w:space="0" w:color="000000"/>
              <w:left w:val="single" w:sz="4" w:space="0" w:color="000000"/>
              <w:bottom w:val="single" w:sz="4" w:space="0" w:color="000000"/>
              <w:right w:val="single" w:sz="4" w:space="0" w:color="000000"/>
            </w:tcBorders>
          </w:tcPr>
          <w:p>
            <w:pPr>
              <w:pStyle w:val="Normal1"/>
              <w:spacing w:before="0" w:after="160"/>
              <w:rPr>
                <w:b/>
                <w:b/>
                <w:bCs/>
              </w:rPr>
            </w:pPr>
            <w:r>
              <w:rPr>
                <w:b/>
                <w:bCs/>
              </w:rPr>
              <w:t>Description</w:t>
            </w:r>
          </w:p>
        </w:tc>
      </w:tr>
      <w:tr>
        <w:trPr>
          <w:trHeight w:val="817" w:hRule="atLeast"/>
        </w:trPr>
        <w:tc>
          <w:tcPr>
            <w:tcW w:w="854" w:type="dxa"/>
            <w:tcBorders>
              <w:top w:val="single" w:sz="4" w:space="0" w:color="000000"/>
              <w:left w:val="single" w:sz="4" w:space="0" w:color="000000"/>
              <w:bottom w:val="single" w:sz="4" w:space="0" w:color="000000"/>
              <w:right w:val="single" w:sz="4" w:space="0" w:color="000000"/>
            </w:tcBorders>
          </w:tcPr>
          <w:p>
            <w:pPr>
              <w:pStyle w:val="Normal1"/>
              <w:numPr>
                <w:ilvl w:val="0"/>
                <w:numId w:val="1"/>
              </w:numPr>
              <w:pBdr/>
              <w:spacing w:lineRule="auto" w:line="259" w:before="0" w:after="160"/>
              <w:ind w:left="644" w:hanging="360"/>
              <w:rPr>
                <w:color w:val="000000"/>
              </w:rPr>
            </w:pPr>
            <w:r>
              <w:rPr>
                <w:color w:val="000000"/>
              </w:rPr>
            </w:r>
          </w:p>
        </w:tc>
        <w:tc>
          <w:tcPr>
            <w:tcW w:w="3706"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color w:val="222222"/>
              </w:rPr>
              <w:t>Problem Statement (Problem to be solved)</w:t>
            </w:r>
          </w:p>
        </w:tc>
        <w:tc>
          <w:tcPr>
            <w:tcW w:w="4515"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t>People struggle to make informed food choices day to day — they don’t know their personal calorie/macro needs, find manual meal logging tedious, and lack an easy way to turn nutrition goals into actual recipes and a shopping list. This leads to inconsistent tracking and poor adherence to health and fitness goals.</w:t>
            </w:r>
          </w:p>
        </w:tc>
      </w:tr>
      <w:tr>
        <w:trPr>
          <w:trHeight w:val="817" w:hRule="atLeast"/>
        </w:trPr>
        <w:tc>
          <w:tcPr>
            <w:tcW w:w="854" w:type="dxa"/>
            <w:tcBorders>
              <w:top w:val="single" w:sz="4" w:space="0" w:color="000000"/>
              <w:left w:val="single" w:sz="4" w:space="0" w:color="000000"/>
              <w:bottom w:val="single" w:sz="4" w:space="0" w:color="000000"/>
              <w:right w:val="single" w:sz="4" w:space="0" w:color="000000"/>
            </w:tcBorders>
          </w:tcPr>
          <w:p>
            <w:pPr>
              <w:pStyle w:val="Normal1"/>
              <w:numPr>
                <w:ilvl w:val="0"/>
                <w:numId w:val="1"/>
              </w:numPr>
              <w:pBdr/>
              <w:spacing w:lineRule="auto" w:line="259" w:before="0" w:after="160"/>
              <w:ind w:left="644" w:hanging="360"/>
              <w:rPr>
                <w:color w:val="000000"/>
              </w:rPr>
            </w:pPr>
            <w:r>
              <w:rPr>
                <w:color w:val="000000"/>
              </w:rPr>
            </w:r>
          </w:p>
        </w:tc>
        <w:tc>
          <w:tcPr>
            <w:tcW w:w="3706"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color w:val="222222"/>
              </w:rPr>
              <w:t>Idea / Solution description</w:t>
            </w:r>
          </w:p>
        </w:tc>
        <w:tc>
          <w:tcPr>
            <w:tcW w:w="4515"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t>NutriAssist is a MERN-stack web app where users build a health profile (age, gender, height, weight, activity level, goal, dietary restrictions) and instantly get BMR/TDEE-based, goal-adjusted daily calorie and macro targets (Mifflin-St Jeor formula). Users log meals against a searchable food database, track progress on a dashboard (today’s totals vs. targets plus a 7-day chart), and receive recipe suggestions filtered by meal type and goal, with a grocery list auto-generated from the recipes they select.</w:t>
            </w:r>
          </w:p>
        </w:tc>
      </w:tr>
      <w:tr>
        <w:trPr>
          <w:trHeight w:val="787" w:hRule="atLeast"/>
        </w:trPr>
        <w:tc>
          <w:tcPr>
            <w:tcW w:w="854" w:type="dxa"/>
            <w:tcBorders>
              <w:top w:val="single" w:sz="4" w:space="0" w:color="000000"/>
              <w:left w:val="single" w:sz="4" w:space="0" w:color="000000"/>
              <w:bottom w:val="single" w:sz="4" w:space="0" w:color="000000"/>
              <w:right w:val="single" w:sz="4" w:space="0" w:color="000000"/>
            </w:tcBorders>
          </w:tcPr>
          <w:p>
            <w:pPr>
              <w:pStyle w:val="Normal1"/>
              <w:numPr>
                <w:ilvl w:val="0"/>
                <w:numId w:val="1"/>
              </w:numPr>
              <w:pBdr/>
              <w:spacing w:lineRule="auto" w:line="259" w:before="0" w:after="160"/>
              <w:ind w:left="644" w:hanging="360"/>
              <w:rPr>
                <w:color w:val="000000"/>
              </w:rPr>
            </w:pPr>
            <w:r>
              <w:rPr>
                <w:color w:val="000000"/>
              </w:rPr>
            </w:r>
          </w:p>
        </w:tc>
        <w:tc>
          <w:tcPr>
            <w:tcW w:w="3706"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color w:val="222222"/>
              </w:rPr>
              <w:t xml:space="preserve">Novelty / Uniqueness </w:t>
            </w:r>
          </w:p>
        </w:tc>
        <w:tc>
          <w:tcPr>
            <w:tcW w:w="4515"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t>Rather than needing separate apps for tracking, meal planning, and shopping, NutriAssist connects them in one flow: personalized BMR/TDEE targets recalculate automatically whenever the profile changes, recipe recommendations are filtered directly against those live targets and dietary restrictions, and the grocery list is generated automatically from selected recipes instead of manual entry.</w:t>
            </w:r>
          </w:p>
        </w:tc>
      </w:tr>
      <w:tr>
        <w:trPr>
          <w:trHeight w:val="817" w:hRule="atLeast"/>
        </w:trPr>
        <w:tc>
          <w:tcPr>
            <w:tcW w:w="854" w:type="dxa"/>
            <w:tcBorders>
              <w:top w:val="single" w:sz="4" w:space="0" w:color="000000"/>
              <w:left w:val="single" w:sz="4" w:space="0" w:color="000000"/>
              <w:bottom w:val="single" w:sz="4" w:space="0" w:color="000000"/>
              <w:right w:val="single" w:sz="4" w:space="0" w:color="000000"/>
            </w:tcBorders>
          </w:tcPr>
          <w:p>
            <w:pPr>
              <w:pStyle w:val="Normal1"/>
              <w:numPr>
                <w:ilvl w:val="0"/>
                <w:numId w:val="1"/>
              </w:numPr>
              <w:pBdr/>
              <w:spacing w:lineRule="auto" w:line="259" w:before="0" w:after="160"/>
              <w:ind w:left="644" w:hanging="360"/>
              <w:rPr>
                <w:color w:val="000000"/>
              </w:rPr>
            </w:pPr>
            <w:r>
              <w:rPr>
                <w:color w:val="000000"/>
              </w:rPr>
            </w:r>
          </w:p>
        </w:tc>
        <w:tc>
          <w:tcPr>
            <w:tcW w:w="3706"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color w:val="222222"/>
              </w:rPr>
              <w:t>Social Impact / Customer Satisfaction</w:t>
            </w:r>
          </w:p>
        </w:tc>
        <w:tc>
          <w:tcPr>
            <w:tcW w:w="4515"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t>Helps users build sustainable, informed eating habits by removing the guesswork around calorie and macro needs, and supports specific goals and dietary restrictions (weight loss, maintenance, gain, allergies/preferences). Auto-generated grocery lists reduce shopping friction and food waste, while the educational resources and nutrition-professional directory improve users’ nutrition literacy and access to expert guidance.</w:t>
            </w:r>
          </w:p>
        </w:tc>
      </w:tr>
      <w:tr>
        <w:trPr>
          <w:trHeight w:val="817" w:hRule="atLeast"/>
        </w:trPr>
        <w:tc>
          <w:tcPr>
            <w:tcW w:w="854" w:type="dxa"/>
            <w:tcBorders>
              <w:top w:val="single" w:sz="4" w:space="0" w:color="000000"/>
              <w:left w:val="single" w:sz="4" w:space="0" w:color="000000"/>
              <w:bottom w:val="single" w:sz="4" w:space="0" w:color="000000"/>
              <w:right w:val="single" w:sz="4" w:space="0" w:color="000000"/>
            </w:tcBorders>
          </w:tcPr>
          <w:p>
            <w:pPr>
              <w:pStyle w:val="Normal1"/>
              <w:numPr>
                <w:ilvl w:val="0"/>
                <w:numId w:val="1"/>
              </w:numPr>
              <w:pBdr/>
              <w:spacing w:lineRule="auto" w:line="259" w:before="0" w:after="160"/>
              <w:ind w:left="644" w:hanging="360"/>
              <w:rPr>
                <w:color w:val="000000"/>
              </w:rPr>
            </w:pPr>
            <w:r>
              <w:rPr>
                <w:color w:val="000000"/>
              </w:rPr>
            </w:r>
          </w:p>
        </w:tc>
        <w:tc>
          <w:tcPr>
            <w:tcW w:w="3706"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color w:val="222222"/>
              </w:rPr>
              <w:t>Business Model (Revenue Model)</w:t>
            </w:r>
          </w:p>
        </w:tc>
        <w:tc>
          <w:tcPr>
            <w:tcW w:w="4515"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t>Freemium model: core meal logging, target calculation, and recipe suggestions are free, with a premium subscription unlocking advanced features such as detailed micronutrient tracking, unlimited recipe/grocery history, meal reminders, and priority access to nutrition professionals. Additional revenue from affiliate partnerships with grocery delivery services and referral commissions from listed nutrition professionals.</w:t>
            </w:r>
          </w:p>
        </w:tc>
      </w:tr>
      <w:tr>
        <w:trPr>
          <w:trHeight w:val="817" w:hRule="atLeast"/>
        </w:trPr>
        <w:tc>
          <w:tcPr>
            <w:tcW w:w="854" w:type="dxa"/>
            <w:tcBorders>
              <w:top w:val="single" w:sz="4" w:space="0" w:color="000000"/>
              <w:left w:val="single" w:sz="4" w:space="0" w:color="000000"/>
              <w:bottom w:val="single" w:sz="4" w:space="0" w:color="000000"/>
              <w:right w:val="single" w:sz="4" w:space="0" w:color="000000"/>
            </w:tcBorders>
          </w:tcPr>
          <w:p>
            <w:pPr>
              <w:pStyle w:val="Normal1"/>
              <w:numPr>
                <w:ilvl w:val="0"/>
                <w:numId w:val="1"/>
              </w:numPr>
              <w:pBdr/>
              <w:spacing w:lineRule="auto" w:line="259" w:before="0" w:after="160"/>
              <w:ind w:left="644" w:hanging="360"/>
              <w:rPr>
                <w:color w:val="000000"/>
              </w:rPr>
            </w:pPr>
            <w:r>
              <w:rPr>
                <w:color w:val="000000"/>
              </w:rPr>
            </w:r>
          </w:p>
        </w:tc>
        <w:tc>
          <w:tcPr>
            <w:tcW w:w="3706" w:type="dxa"/>
            <w:tcBorders>
              <w:top w:val="single" w:sz="4" w:space="0" w:color="000000"/>
              <w:left w:val="single" w:sz="4" w:space="0" w:color="000000"/>
              <w:bottom w:val="single" w:sz="4" w:space="0" w:color="000000"/>
              <w:right w:val="single" w:sz="4" w:space="0" w:color="000000"/>
            </w:tcBorders>
          </w:tcPr>
          <w:p>
            <w:pPr>
              <w:pStyle w:val="Normal1"/>
              <w:spacing w:before="0" w:after="160"/>
              <w:rPr>
                <w:color w:val="222222"/>
              </w:rPr>
            </w:pPr>
            <w:r>
              <w:rPr>
                <w:color w:val="222222"/>
              </w:rPr>
              <w:t>Scalability of the Solution</w:t>
            </w:r>
          </w:p>
        </w:tc>
        <w:tc>
          <w:tcPr>
            <w:tcW w:w="4515"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t>The layered MERN architecture (React/Vite frontend, stateless Express REST API secured by JWT, MongoDB) scales horizontally — the API can run multiple instances behind a load balancer, and MongoDB Atlas supports sharding and replica sets as data grows. The food/recipe reference data can expand or plug into a live external nutrition API, and the modular routes/controllers structure lets new features (barcode scanning, notifications, an admin panel) be added without reworking the core system.</w:t>
            </w:r>
          </w:p>
        </w:tc>
      </w:tr>
    </w:tbl>
    <w:p>
      <w:pPr>
        <w:pStyle w:val="Normal1"/>
        <w:widowControl/>
        <w:bidi w:val="0"/>
        <w:spacing w:lineRule="auto" w:line="259" w:before="0" w:after="160"/>
        <w:jc w:val="left"/>
        <w:rPr/>
      </w:pPr>
      <w:r>
        <w:rPr/>
      </w:r>
    </w:p>
    <w:sectPr>
      <w:type w:val="nextPage"/>
      <w:pgSz w:w="11906" w:h="16838"/>
      <w:pgMar w:left="1440" w:right="1440" w:header="0" w:top="851" w:footer="0" w:bottom="1440" w:gutter="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Calibri">
    <w:charset w:val="01"/>
    <w:family w:val="roman"/>
    <w:pitch w:val="variable"/>
    <w:embedRegular r:id="rId5" w:fontKey="{05014A78-CABC-4EF0-12AC-5CD89AEFDE05}"/>
    <w:embedBold r:id="rId6" w:fontKey="{06014A78-CABC-4EF0-12AC-5CD89AEFDE06}"/>
  </w:font>
  <w:font w:name="Liberation Sans">
    <w:altName w:val="Arial"/>
    <w:charset w:val="01"/>
    <w:family w:val="swiss"/>
    <w:pitch w:val="variable"/>
    <w:embedRegular r:id="rId7" w:fontKey="{07014A78-CABC-4EF0-12AC-5CD89AEFDE07}"/>
    <w:embedBold r:id="rId8" w:fontKey="{08014A78-CABC-4EF0-12AC-5CD89AEFDE08}"/>
    <w:embedItalic r:id="rId9" w:fontKey="{09014A78-CABC-4EF0-12AC-5CD89AEFDE09}"/>
    <w:embedBoldItalic r:id="rId10" w:fontKey="{0A014A78-CABC-4EF0-12AC-5CD89AEFDE0A}"/>
  </w:font>
  <w:font w:name="Georgia">
    <w:charset w:val="01"/>
    <w:family w:val="roman"/>
    <w:pitch w:val="variable"/>
    <w:embedRegular r:id="rId11" w:fontKey="{0B014A78-CABC-4EF0-12AC-5CD89AEFDE0B}"/>
    <w:embedItalic r:id="rId12" w:fontKey="{0C014A78-CABC-4EF0-12AC-5CD89AEFDE0C}"/>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left"/>
      <w:pPr>
        <w:tabs>
          <w:tab w:val="num" w:pos="0"/>
        </w:tabs>
        <w:ind w:left="644" w:hanging="358"/>
      </w:pPr>
    </w:lvl>
    <w:lvl w:ilvl="1">
      <w:start w:val="1"/>
      <w:numFmt w:val="lowerLetter"/>
      <w:lvlText w:val="%2."/>
      <w:lvlJc w:val="left"/>
      <w:pPr>
        <w:tabs>
          <w:tab w:val="num" w:pos="0"/>
        </w:tabs>
        <w:ind w:left="1364" w:hanging="360"/>
      </w:pPr>
    </w:lvl>
    <w:lvl w:ilvl="2">
      <w:start w:val="1"/>
      <w:numFmt w:val="lowerRoman"/>
      <w:lvlText w:val="%3."/>
      <w:lvlJc w:val="right"/>
      <w:pPr>
        <w:tabs>
          <w:tab w:val="num" w:pos="0"/>
        </w:tabs>
        <w:ind w:left="2084" w:hanging="180"/>
      </w:pPr>
    </w:lvl>
    <w:lvl w:ilvl="3">
      <w:start w:val="1"/>
      <w:numFmt w:val="decimal"/>
      <w:lvlText w:val="%4."/>
      <w:lvlJc w:val="left"/>
      <w:pPr>
        <w:tabs>
          <w:tab w:val="num" w:pos="0"/>
        </w:tabs>
        <w:ind w:left="2804" w:hanging="360"/>
      </w:pPr>
    </w:lvl>
    <w:lvl w:ilvl="4">
      <w:start w:val="1"/>
      <w:numFmt w:val="lowerLetter"/>
      <w:lvlText w:val="%5."/>
      <w:lvlJc w:val="left"/>
      <w:pPr>
        <w:tabs>
          <w:tab w:val="num" w:pos="0"/>
        </w:tabs>
        <w:ind w:left="3524" w:hanging="360"/>
      </w:pPr>
    </w:lvl>
    <w:lvl w:ilvl="5">
      <w:start w:val="1"/>
      <w:numFmt w:val="lowerRoman"/>
      <w:lvlText w:val="%6."/>
      <w:lvlJc w:val="right"/>
      <w:pPr>
        <w:tabs>
          <w:tab w:val="num" w:pos="0"/>
        </w:tabs>
        <w:ind w:left="4244" w:hanging="180"/>
      </w:pPr>
    </w:lvl>
    <w:lvl w:ilvl="6">
      <w:start w:val="1"/>
      <w:numFmt w:val="decimal"/>
      <w:lvlText w:val="%7."/>
      <w:lvlJc w:val="left"/>
      <w:pPr>
        <w:tabs>
          <w:tab w:val="num" w:pos="0"/>
        </w:tabs>
        <w:ind w:left="4964" w:hanging="360"/>
      </w:pPr>
    </w:lvl>
    <w:lvl w:ilvl="7">
      <w:start w:val="1"/>
      <w:numFmt w:val="lowerLetter"/>
      <w:lvlText w:val="%8."/>
      <w:lvlJc w:val="left"/>
      <w:pPr>
        <w:tabs>
          <w:tab w:val="num" w:pos="0"/>
        </w:tabs>
        <w:ind w:left="5684" w:hanging="360"/>
      </w:pPr>
    </w:lvl>
    <w:lvl w:ilvl="8">
      <w:start w:val="1"/>
      <w:numFmt w:val="lowerRoman"/>
      <w:lvlText w:val="%9."/>
      <w:lvlJc w:val="right"/>
      <w:pPr>
        <w:tabs>
          <w:tab w:val="num" w:pos="0"/>
        </w:tabs>
        <w:ind w:left="6404" w:hanging="18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IN" w:eastAsia="zh-CN" w:bidi="hi-IN"/>
      </w:rPr>
    </w:rPrDefault>
    <w:pPrDefault>
      <w:pPr>
        <w:suppressAutoHyphens w:val="true"/>
      </w:pPr>
    </w:pPrDefault>
  </w:docDefaults>
  <w:style w:type="paragraph" w:styleId="Normal">
    <w:name w:val="Normal"/>
    <w:qFormat/>
    <w:pPr>
      <w:widowControl/>
      <w:bidi w:val="0"/>
      <w:spacing w:lineRule="auto" w:line="259" w:before="0" w:after="160"/>
      <w:jc w:val="left"/>
    </w:pPr>
    <w:rPr>
      <w:rFonts w:ascii="Calibri" w:hAnsi="Calibri" w:eastAsia="Calibri" w:cs="Calibri"/>
      <w:color w:val="auto"/>
      <w:kern w:val="0"/>
      <w:sz w:val="22"/>
      <w:szCs w:val="22"/>
      <w:lang w:val="en-IN" w:eastAsia="zh-CN" w:bidi="hi-IN"/>
    </w:rPr>
  </w:style>
  <w:style w:type="paragraph" w:styleId="Heading1">
    <w:name w:val="Heading 1"/>
    <w:basedOn w:val="Normal1"/>
    <w:next w:val="Normal1"/>
    <w:qFormat/>
    <w:pPr>
      <w:keepNext w:val="true"/>
      <w:keepLines/>
      <w:spacing w:lineRule="auto" w:line="240" w:before="480" w:after="120"/>
    </w:pPr>
    <w:rPr>
      <w:b/>
      <w:bCs/>
      <w:sz w:val="48"/>
      <w:szCs w:val="48"/>
    </w:rPr>
  </w:style>
  <w:style w:type="paragraph" w:styleId="Heading2">
    <w:name w:val="Heading 2"/>
    <w:basedOn w:val="Normal1"/>
    <w:next w:val="Normal1"/>
    <w:qFormat/>
    <w:pPr>
      <w:keepNext w:val="true"/>
      <w:keepLines/>
      <w:spacing w:lineRule="auto" w:line="240" w:before="360" w:after="80"/>
    </w:pPr>
    <w:rPr>
      <w:b/>
      <w:bCs/>
      <w:sz w:val="36"/>
      <w:szCs w:val="36"/>
    </w:rPr>
  </w:style>
  <w:style w:type="paragraph" w:styleId="Heading3">
    <w:name w:val="Heading 3"/>
    <w:basedOn w:val="Normal1"/>
    <w:next w:val="Normal1"/>
    <w:qFormat/>
    <w:pPr>
      <w:keepNext w:val="true"/>
      <w:keepLines/>
      <w:spacing w:lineRule="auto" w:line="240" w:before="280" w:after="80"/>
    </w:pPr>
    <w:rPr>
      <w:b/>
      <w:bCs/>
      <w:sz w:val="28"/>
      <w:szCs w:val="28"/>
    </w:rPr>
  </w:style>
  <w:style w:type="paragraph" w:styleId="Heading4">
    <w:name w:val="Heading 4"/>
    <w:basedOn w:val="Normal1"/>
    <w:next w:val="Normal1"/>
    <w:qFormat/>
    <w:pPr>
      <w:keepNext w:val="true"/>
      <w:keepLines/>
      <w:spacing w:lineRule="auto" w:line="240" w:before="240" w:after="40"/>
    </w:pPr>
    <w:rPr>
      <w:b/>
      <w:bCs/>
      <w:sz w:val="24"/>
      <w:szCs w:val="24"/>
    </w:rPr>
  </w:style>
  <w:style w:type="paragraph" w:styleId="Heading5">
    <w:name w:val="Heading 5"/>
    <w:basedOn w:val="Normal1"/>
    <w:next w:val="Normal1"/>
    <w:qFormat/>
    <w:pPr>
      <w:keepNext w:val="true"/>
      <w:keepLines/>
      <w:spacing w:lineRule="auto" w:line="240" w:before="220" w:after="40"/>
    </w:pPr>
    <w:rPr>
      <w:b/>
      <w:bCs/>
    </w:rPr>
  </w:style>
  <w:style w:type="paragraph" w:styleId="Heading6">
    <w:name w:val="Heading 6"/>
    <w:basedOn w:val="Normal1"/>
    <w:next w:val="Normal1"/>
    <w:qFormat/>
    <w:pPr>
      <w:keepNext w:val="true"/>
      <w:keepLines/>
      <w:spacing w:lineRule="auto" w:line="240" w:before="200" w:after="40"/>
    </w:pPr>
    <w:rPr>
      <w:b/>
      <w:bCs/>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1" w:default="1">
    <w:name w:val="LO-normal"/>
    <w:qFormat/>
    <w:pPr>
      <w:widowControl/>
      <w:bidi w:val="0"/>
      <w:spacing w:lineRule="auto" w:line="259" w:before="0" w:after="160"/>
      <w:jc w:val="left"/>
    </w:pPr>
    <w:rPr>
      <w:rFonts w:ascii="Calibri" w:hAnsi="Calibri" w:eastAsia="Calibri" w:cs="Calibri"/>
      <w:color w:val="auto"/>
      <w:kern w:val="0"/>
      <w:sz w:val="22"/>
      <w:szCs w:val="22"/>
      <w:lang w:val="en-IN" w:eastAsia="zh-CN" w:bidi="hi-IN"/>
    </w:rPr>
  </w:style>
  <w:style w:type="paragraph" w:styleId="Title">
    <w:name w:val="Title"/>
    <w:basedOn w:val="Normal1"/>
    <w:next w:val="Normal1"/>
    <w:qFormat/>
    <w:pPr>
      <w:keepNext w:val="true"/>
      <w:keepLines/>
      <w:spacing w:lineRule="auto" w:line="240" w:before="480" w:after="120"/>
    </w:pPr>
    <w:rPr>
      <w:b/>
      <w:bCs/>
      <w:sz w:val="72"/>
      <w:szCs w:val="72"/>
    </w:rPr>
  </w:style>
  <w:style w:type="paragraph" w:styleId="Subtitle">
    <w:name w:val="Subtitle"/>
    <w:basedOn w:val="Normal1"/>
    <w:next w:val="Normal1"/>
    <w:qFormat/>
    <w:pPr>
      <w:keepNext w:val="true"/>
      <w:keepLines/>
      <w:spacing w:lineRule="auto" w:line="240" w:before="360" w:after="80"/>
    </w:pPr>
    <w:rPr>
      <w:rFonts w:ascii="Georgia" w:hAnsi="Georgia" w:eastAsia="Georgia" w:cs="Georgia"/>
      <w:i/>
      <w:iCs/>
      <w:color w:val="666666"/>
      <w:sz w:val="48"/>
      <w:szCs w:val="48"/>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r6GRSB57MuWNiIgKigdaa6ZwfUg==">CgMxLjA4AHIhMWJqd1NtZGdpTHZLb0gtZHdJZDRuNU5JRUxCT09PV1Rn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LibreOffice/6.4.7.2$Linux_X86_64 LibreOffice_project/40$Build-2</Application>
  <Pages>2</Pages>
  <Words>427</Words>
  <Characters>2661</Characters>
  <CharactersWithSpaces>3059</CharactersWithSpaces>
  <Paragraphs>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dcterms:modified xsi:type="dcterms:W3CDTF">2026-07-14T10:49:40Z</dcterms:modified>
  <cp:revision>1</cp:revision>
  <dc:subject/>
  <dc:title/>
</cp:coreProperties>
</file>