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34"/>
        </w:rPr>
        <w:t>Comparing Current Market Conditions with Historical Crises Using Transformer Embeddings and Density-Based Clustering: A Regime-Aware Portfolio Analytics Platform and a Critical Evaluation</w:t>
      </w:r>
    </w:p>
    <w:p>
      <w:pPr>
        <w:spacing w:after="120"/>
        <w:jc w:val="center"/>
      </w:pPr>
      <w:r>
        <w:rPr>
          <w:rFonts w:ascii="Times New Roman" w:hAnsi="Times New Roman"/>
          <w:b/>
          <w:sz w:val="24"/>
        </w:rPr>
        <w:t>Faculty guide:</w:t>
      </w:r>
      <w:r>
        <w:rPr>
          <w:rFonts w:ascii="Times New Roman" w:hAnsi="Times New Roman"/>
          <w:sz w:val="24"/>
        </w:rPr>
        <w:t xml:space="preserve"> Dr. Arti Tiwari</w:t>
      </w:r>
    </w:p>
    <w:p>
      <w:pPr>
        <w:spacing w:after="40"/>
        <w:jc w:val="center"/>
      </w:pPr>
      <w:r>
        <w:rPr>
          <w:rFonts w:ascii="Times New Roman" w:hAnsi="Times New Roman"/>
          <w:b/>
          <w:sz w:val="24"/>
        </w:rPr>
        <w:t>Contributors</w:t>
      </w:r>
    </w:p>
    <w:p>
      <w:pPr>
        <w:spacing w:after="20"/>
        <w:jc w:val="center"/>
      </w:pPr>
      <w:r>
        <w:rPr>
          <w:rFonts w:ascii="Times New Roman" w:hAnsi="Times New Roman"/>
          <w:sz w:val="24"/>
        </w:rPr>
        <w:t>Yogdeep Benchimath 23BAI0002</w:t>
      </w:r>
    </w:p>
    <w:p>
      <w:pPr>
        <w:spacing w:after="20"/>
        <w:jc w:val="center"/>
      </w:pPr>
      <w:r>
        <w:rPr>
          <w:rFonts w:ascii="Times New Roman" w:hAnsi="Times New Roman"/>
          <w:sz w:val="24"/>
        </w:rPr>
        <w:t>Anushka Mishra 23BAI0014</w:t>
      </w:r>
    </w:p>
    <w:p>
      <w:pPr>
        <w:spacing w:after="160"/>
        <w:jc w:val="center"/>
      </w:pPr>
      <w:r>
        <w:rPr>
          <w:rFonts w:ascii="Times New Roman" w:hAnsi="Times New Roman"/>
          <w:sz w:val="24"/>
        </w:rPr>
        <w:t>Mehul Arora 23BAI0044</w:t>
      </w:r>
    </w:p>
    <w:p>
      <w:pPr>
        <w:spacing w:after="40"/>
        <w:jc w:val="center"/>
      </w:pPr>
      <w:r>
        <w:rPr>
          <w:rFonts w:ascii="Times New Roman" w:hAnsi="Times New Roman"/>
          <w:i/>
          <w:sz w:val="21"/>
        </w:rPr>
        <w:t>Vellore Institute of Technology, Vellore, Tamil Nadu, India</w:t>
      </w:r>
    </w:p>
    <w:p>
      <w:pPr>
        <w:spacing w:after="240"/>
        <w:jc w:val="center"/>
      </w:pPr>
      <w:r>
        <w:rPr>
          <w:rFonts w:ascii="Times New Roman" w:hAnsi="Times New Roman"/>
          <w:sz w:val="20"/>
        </w:rPr>
        <w:t>B.Tech in Computer Science and Engineering (Artificial Intelligence and Machine Learning), course project BCSE497J, Fall Semester 2026–27</w:t>
      </w:r>
    </w:p>
    <w:p>
      <w:pPr>
        <w:pStyle w:val="Heading1"/>
      </w:pPr>
      <w:r>
        <w:t>Abstract</w:t>
      </w:r>
    </w:p>
    <w:p>
      <w:pPr>
        <w:keepNext w:val="0"/>
        <w:spacing w:after="80"/>
        <w:jc w:val="both"/>
      </w:pPr>
      <w:r>
        <w:rPr>
          <w:rFonts w:ascii="Times New Roman" w:hAnsi="Times New Roman"/>
        </w:rPr>
        <w:t xml:space="preserve">Investors and risk managers routinely ask whether current market conditions resemble a past crisis, and whether a portfolio should adapt when they do. This paper presents an open-source, full-stack platform that addresses both questions on live market data, and reports an evaluation that is deliberately critical of its own components. The platform combines (i) an unsupervised three-state Gaussian hidden Markov model (HMM) for day-level regime labelling; (ii) a historical-pattern comparison engine in which any price window is resampled to a length-invariant 40-point, three-channel shape, embedded by a small Transformer encoder (16 dimensions) and scored against a labelled corpus of 965 windows drawn from the dot-com bust, the 2008 global financial crisis (GFC), the COVID-19 crash and calm periods, with density-based (HDBSCAN) structuring of the corpus; and (iii) an adaptive allocation policy trained by evolution strategies and benchmarked, with walk-forward backtests, against equal-weight and rolling mean-variance portfolios. Under leakage-controlled blocked cross-validation the matcher separates crisis-like from normal windows (crisis recall 48.8%, false-alarm rate 1.0%) and, in leave-one-crisis-out tests, flags a never-seen crisis as crisis-like in 53%–93% of its windows; however, it identifies </w:t>
      </w:r>
      <w:r>
        <w:rPr>
          <w:rFonts w:ascii="Times New Roman" w:hAnsi="Times New Roman"/>
          <w:i/>
        </w:rPr>
        <w:t>which</w:t>
      </w:r>
      <w:r>
        <w:rPr>
          <w:rFonts w:ascii="Times New Roman" w:hAnsi="Times New Roman"/>
        </w:rPr>
        <w:t xml:space="preserve"> crisis it is only for the dot-com bust (balanced accuracy 0.39 against 0.25 chance), and a trained Transformer was no better than an untrained encoder or seven hand-crafted statistics. The adaptive allocator did not deliver a robust advantage: its mean out-of-sample Sharpe ratio over six seeds was below that of mean-variance in three of four settings, and the fourth, an apparent success, was traced to a constant 100% gold position caused by an invalid train/test split. We release the platform, the evaluation protocols and the negative results to support more rigorous regime-aware allocation research.</w:t>
      </w:r>
    </w:p>
    <w:p>
      <w:pPr>
        <w:keepNext w:val="0"/>
        <w:spacing w:after="120"/>
      </w:pPr>
      <w:r>
        <w:rPr>
          <w:rFonts w:ascii="Times New Roman" w:hAnsi="Times New Roman"/>
          <w:b/>
        </w:rPr>
        <w:t>Keywords:</w:t>
      </w:r>
      <w:r>
        <w:rPr>
          <w:rFonts w:ascii="Times New Roman" w:hAnsi="Times New Roman"/>
        </w:rPr>
        <w:t xml:space="preserve"> market regimes; hidden Markov model; Transformer encoder; HDBSCAN; historical analogue retrieval; portfolio optimization; evolution strategies; walk-forward backtesting; financial crises</w:t>
      </w:r>
    </w:p>
    <w:p>
      <w:pPr>
        <w:pStyle w:val="Heading1"/>
      </w:pPr>
      <w:r>
        <w:t>1. Introduction</w:t>
      </w:r>
    </w:p>
    <w:p>
      <w:pPr>
        <w:pStyle w:val="Heading2"/>
      </w:pPr>
      <w:r>
        <w:t>1.1 Background and motivation</w:t>
      </w:r>
    </w:p>
    <w:p>
      <w:pPr>
        <w:keepNext w:val="0"/>
        <w:spacing w:after="120"/>
        <w:jc w:val="both"/>
      </w:pPr>
      <w:r>
        <w:rPr>
          <w:rFonts w:ascii="Times New Roman" w:hAnsi="Times New Roman"/>
        </w:rPr>
        <w:t>Financial crises reorganise markets abruptly. Volatility clusters, correlations between assets rise exactly when diversification is most needed, and return distributions become heavy-tailed [1]. The dot-com bust (2000–2002), the 2008 global financial crisis and the COVID-19 crash of February–March 2020 differ in cause, speed and duration (the Nasdaq fell roughly four-fifths over two and a half years, whereas the S&amp;P 500 lost about a third in a single month in 2020), yet practitioners routinely reason about the present by analogy (“this looks like 2008”). Classical portfolio selection [2] assumes stable return moments and is estimated on a trailing window, so it adapts slowly to such shifts; the naive 1/N rule is surprisingly hard to beat out of sample [3]. Regime-switching models [4,5] and, more recently, deep reinforcement learning (RL) [6,7] have been proposed to make allocation adaptive.</w:t>
      </w:r>
    </w:p>
    <w:p>
      <w:pPr>
        <w:keepNext w:val="0"/>
        <w:spacing w:after="120"/>
        <w:jc w:val="both"/>
      </w:pPr>
      <w:r>
        <w:rPr>
          <w:rFonts w:ascii="Times New Roman" w:hAnsi="Times New Roman"/>
        </w:rPr>
        <w:t xml:space="preserve">Two practical needs follow. First, a decision-maker wants an </w:t>
      </w:r>
      <w:r>
        <w:rPr>
          <w:rFonts w:ascii="Times New Roman" w:hAnsi="Times New Roman"/>
          <w:i/>
        </w:rPr>
        <w:t>explainable</w:t>
      </w:r>
      <w:r>
        <w:rPr>
          <w:rFonts w:ascii="Times New Roman" w:hAnsi="Times New Roman"/>
        </w:rPr>
        <w:t xml:space="preserve"> comparison of the present (or any chosen period) against catalogued crises that states how closely, and on what evidence, the period resembles each of them, or that it resembles none and should be treated as an ordinary regime. Second, a researcher wants an honest test of whether making an allocation policy regime-aware actually improves risk-adjusted performance under transaction costs and a strict walk-forward protocol. This work builds and evaluates a single platform for both.</w:t>
      </w:r>
    </w:p>
    <w:p>
      <w:pPr>
        <w:pStyle w:val="Heading2"/>
      </w:pPr>
      <w:r>
        <w:t>1.2 Problem statement</w:t>
      </w:r>
    </w:p>
    <w:p>
      <w:pPr>
        <w:keepNext w:val="0"/>
        <w:spacing w:after="120"/>
        <w:jc w:val="both"/>
      </w:pPr>
      <w:r>
        <w:rPr>
          <w:rFonts w:ascii="Times New Roman" w:hAnsi="Times New Roman"/>
        </w:rPr>
        <w:t>We study two coupled problems on daily multi-asset price data.</w:t>
      </w:r>
    </w:p>
    <w:p>
      <w:pPr>
        <w:pStyle w:val="ListBullet"/>
        <w:spacing w:after="60"/>
        <w:jc w:val="both"/>
      </w:pPr>
      <w:r>
        <w:rPr>
          <w:rFonts w:ascii="Times New Roman" w:hAnsi="Times New Roman"/>
          <w:b/>
        </w:rPr>
        <w:t>P1. Historical-analogue comparison.</w:t>
      </w:r>
      <w:r>
        <w:rPr>
          <w:rFonts w:ascii="Times New Roman" w:hAnsi="Times New Roman"/>
        </w:rPr>
        <w:t xml:space="preserve"> Given any symbol and date range (a window of arbitrary length, from about a month to several years), quantify whether its price path resembles one of three catalogued crises (dot-com, 2008 GFC, COVID-19) or a normal regime, report calibrated evidence (similarity confidence, a visual overlay with a real historical window, return/volatility/drawdown, regime composition) and, when no crisis matches, a normal-regime baseline.</w:t>
      </w:r>
    </w:p>
    <w:p>
      <w:pPr>
        <w:pStyle w:val="ListBullet"/>
        <w:spacing w:after="60"/>
        <w:jc w:val="both"/>
      </w:pPr>
      <w:r>
        <w:rPr>
          <w:rFonts w:ascii="Times New Roman" w:hAnsi="Times New Roman"/>
          <w:b/>
        </w:rPr>
        <w:t>P2. Regime-aware allocation.</w:t>
      </w:r>
      <w:r>
        <w:rPr>
          <w:rFonts w:ascii="Times New Roman" w:hAnsi="Times New Roman"/>
        </w:rPr>
        <w:t xml:space="preserve"> Determine whether an adaptive policy that observes regime probabilities and asset-level momentum and volatility improves risk-adjusted outcomes over equal-weight and rolling mean-variance benchmarks when trained only on pre-crisis data and evaluated walk-forward through the crisis and recovery.</w:t>
      </w:r>
    </w:p>
    <w:p>
      <w:pPr>
        <w:pStyle w:val="Heading2"/>
      </w:pPr>
      <w:r>
        <w:t>1.3 Research gap</w:t>
      </w:r>
    </w:p>
    <w:p>
      <w:pPr>
        <w:keepNext w:val="0"/>
        <w:spacing w:after="120"/>
        <w:jc w:val="both"/>
      </w:pPr>
      <w:r>
        <w:rPr>
          <w:rFonts w:ascii="Times New Roman" w:hAnsi="Times New Roman"/>
        </w:rPr>
        <w:t>The literature reviewed for this project (Section 2) reports adaptive RL allocators that outperform static baselines, but leaves gaps that this work targets. (a) Many RL studies use a single asset or simplified settings and ignore transaction costs and liquidity [8]. (b) Static mean-variance and early RL models do not respond to regime shifts in real time. (c) Reported returns are often not accompanied by robust risk-adjusted benchmarking across varied market conditions, multi-seed variability or leakage controls. (d) High-performing deep models trade interpretability for performance [9]. (e) We are not aware of a length-invariant, explainable analogue-matching tool for comparing arbitrary periods with named crises, coupled to an allocation benchmark.</w:t>
      </w:r>
    </w:p>
    <w:p>
      <w:pPr>
        <w:pStyle w:val="Heading2"/>
      </w:pPr>
      <w:r>
        <w:t>1.4 Objectives and key contributions</w:t>
      </w:r>
    </w:p>
    <w:p>
      <w:pPr>
        <w:keepNext w:val="0"/>
        <w:spacing w:after="120"/>
        <w:jc w:val="both"/>
      </w:pPr>
      <w:r>
        <w:rPr>
          <w:rFonts w:ascii="Times New Roman" w:hAnsi="Times New Roman"/>
        </w:rPr>
        <w:t>The objectives are to (O1) detect market regimes without labelled crash dates; (O2) build an explainable historical-pattern comparison for arbitrary periods; (O3) implement an adaptive multi-asset allocator whose reward includes drawdown and turnover (transaction-cost) terms; (O4) benchmark against mean-variance and equal-weight with Sharpe ratio, drawdown and return; and (O5) assess robustness across bull, bear and crisis regimes. The contributions are:</w:t>
      </w:r>
    </w:p>
    <w:p>
      <w:pPr>
        <w:pStyle w:val="ListBullet"/>
        <w:spacing w:after="60"/>
        <w:jc w:val="both"/>
      </w:pPr>
      <w:r>
        <w:rPr>
          <w:rFonts w:ascii="Times New Roman" w:hAnsi="Times New Roman"/>
          <w:b/>
        </w:rPr>
        <w:t>C1.</w:t>
      </w:r>
      <w:r>
        <w:rPr>
          <w:rFonts w:ascii="Times New Roman" w:hAnsi="Times New Roman"/>
        </w:rPr>
        <w:t xml:space="preserve"> An open, runnable platform (FastAPI back end, React dashboard) with live data ingestion, a calibrated offline fallback, an HMM regime view, a pattern-comparison report and a backtesting workbench.</w:t>
      </w:r>
    </w:p>
    <w:p>
      <w:pPr>
        <w:pStyle w:val="ListBullet"/>
        <w:spacing w:after="60"/>
        <w:jc w:val="both"/>
      </w:pPr>
      <w:r>
        <w:rPr>
          <w:rFonts w:ascii="Times New Roman" w:hAnsi="Times New Roman"/>
          <w:b/>
        </w:rPr>
        <w:t>C2.</w:t>
      </w:r>
      <w:r>
        <w:rPr>
          <w:rFonts w:ascii="Times New Roman" w:hAnsi="Times New Roman"/>
        </w:rPr>
        <w:t xml:space="preserve"> A length-invariant shape representation (cumulative return, short-window volatility and running drawdown resampled to 40 points) with a Transformer encoder, a stratified, class-balanced reference corpus and a nearest-neighbour similarity score with a purity-weighted confidence.</w:t>
      </w:r>
    </w:p>
    <w:p>
      <w:pPr>
        <w:pStyle w:val="ListBullet"/>
        <w:spacing w:after="60"/>
        <w:jc w:val="both"/>
      </w:pPr>
      <w:r>
        <w:rPr>
          <w:rFonts w:ascii="Times New Roman" w:hAnsi="Times New Roman"/>
          <w:b/>
        </w:rPr>
        <w:t>C3.</w:t>
      </w:r>
      <w:r>
        <w:rPr>
          <w:rFonts w:ascii="Times New Roman" w:hAnsi="Times New Roman"/>
        </w:rPr>
        <w:t xml:space="preserve"> A leakage-controlled evaluation protocol for analogue matching (blocked, purged cross-validation and leave-one-crisis-out), together with simple-feature and untrained-encoder ablations.</w:t>
      </w:r>
    </w:p>
    <w:p>
      <w:pPr>
        <w:pStyle w:val="ListBullet"/>
        <w:spacing w:after="60"/>
        <w:jc w:val="both"/>
      </w:pPr>
      <w:r>
        <w:rPr>
          <w:rFonts w:ascii="Times New Roman" w:hAnsi="Times New Roman"/>
          <w:b/>
        </w:rPr>
        <w:t>C4.</w:t>
      </w:r>
      <w:r>
        <w:rPr>
          <w:rFonts w:ascii="Times New Roman" w:hAnsi="Times New Roman"/>
        </w:rPr>
        <w:t xml:space="preserve"> A walk-forward allocation benchmark with multi-seed ablations and stationary-bootstrap intervals, including a corrected dot-com design.</w:t>
      </w:r>
    </w:p>
    <w:p>
      <w:pPr>
        <w:pStyle w:val="ListBullet"/>
        <w:spacing w:after="60"/>
        <w:jc w:val="both"/>
      </w:pPr>
      <w:r>
        <w:rPr>
          <w:rFonts w:ascii="Times New Roman" w:hAnsi="Times New Roman"/>
          <w:b/>
        </w:rPr>
        <w:t>C5.</w:t>
      </w:r>
      <w:r>
        <w:rPr>
          <w:rFonts w:ascii="Times New Roman" w:hAnsi="Times New Roman"/>
        </w:rPr>
        <w:t xml:space="preserve"> Transparent negative findings and their diagnosis (an invalid train/test split producing a constant gold portfolio; no advantage of a trained over an untrained encoder; no robust advantage of the adaptive policy).</w:t>
      </w:r>
    </w:p>
    <w:p>
      <w:pPr>
        <w:pStyle w:val="Heading1"/>
      </w:pPr>
      <w:r>
        <w:t>2. Related Work / Literature Review</w:t>
      </w:r>
    </w:p>
    <w:p>
      <w:pPr>
        <w:pStyle w:val="Heading2"/>
      </w:pPr>
      <w:r>
        <w:t>2.1 Portfolio selection and baselines</w:t>
      </w:r>
    </w:p>
    <w:p>
      <w:pPr>
        <w:keepNext w:val="0"/>
        <w:spacing w:after="120"/>
        <w:jc w:val="both"/>
      </w:pPr>
      <w:r>
        <w:rPr>
          <w:rFonts w:ascii="Times New Roman" w:hAnsi="Times New Roman"/>
        </w:rPr>
        <w:t>Mean-variance optimisation [2] selects weights that trade expected return against variance; estimated on a short window it is noisy, but remains the standard benchmark. DeMiguel et al. [3] showed that the equal-weight 1/N rule is rarely outperformed out of sample by optimised portfolios given realistic estimation error, which is why both are used as baselines here. Risk-adjusted performance is conventionally summarised by the Sharpe ratio [10], maximum drawdown and the Calmar ratio.</w:t>
      </w:r>
    </w:p>
    <w:p>
      <w:pPr>
        <w:pStyle w:val="Heading2"/>
      </w:pPr>
      <w:r>
        <w:t>2.2 Regime detection</w:t>
      </w:r>
    </w:p>
    <w:p>
      <w:pPr>
        <w:keepNext w:val="0"/>
        <w:spacing w:after="120"/>
        <w:jc w:val="both"/>
      </w:pPr>
      <w:r>
        <w:rPr>
          <w:rFonts w:ascii="Times New Roman" w:hAnsi="Times New Roman"/>
        </w:rPr>
        <w:t>Hamilton [4] introduced Markov-switching models for nonstationary series, and Ang and Bekaert [5] showed that regimes matter for international asset allocation. Gaussian hidden Markov models (HMMs) [11] fitted by expectation–maximisation provide an unsupervised way to label each day with a latent state; we use a three-state HMM on return, rolling volatility and drawdown features and relabel states by their empirical statistics.</w:t>
      </w:r>
    </w:p>
    <w:p>
      <w:pPr>
        <w:pStyle w:val="Heading2"/>
      </w:pPr>
      <w:r>
        <w:t>2.3 Reinforcement learning for portfolio management</w:t>
      </w:r>
    </w:p>
    <w:p>
      <w:pPr>
        <w:keepNext w:val="0"/>
        <w:spacing w:after="120"/>
        <w:jc w:val="both"/>
      </w:pPr>
      <w:r>
        <w:rPr>
          <w:rFonts w:ascii="Times New Roman" w:hAnsi="Times New Roman"/>
        </w:rPr>
        <w:t>Direct reinforcement learning for trading [6] was extended by deep RL frameworks for portfolio management [7] using policy-gradient and actor–critic methods such as DDPG [12] and PPO [13]. The four recent studies surveyed in the project proposal are summarised in Table 1: Zhang [14] combines a graph attention network with three specialised agents; the DRL-APO framework [15] uses a CNN–LSTM encoder with PPO; RL-APM [8] applies DDPG to single-stock allocation with technical indicators; and a regime-aware study [9] uses Transformer-PPO and LSTM models with regime detection.</w:t>
      </w:r>
    </w:p>
    <w:p>
      <w:pPr>
        <w:keepNext/>
        <w:spacing w:after="60" w:before="160"/>
      </w:pPr>
      <w:r>
        <w:rPr>
          <w:rFonts w:ascii="Times New Roman" w:hAnsi="Times New Roman"/>
          <w:b/>
          <w:sz w:val="19"/>
        </w:rPr>
        <w:t xml:space="preserve">Table 1. </w:t>
      </w:r>
      <w:r>
        <w:rPr>
          <w:rFonts w:ascii="Times New Roman" w:hAnsi="Times New Roman"/>
          <w:sz w:val="19"/>
        </w:rPr>
        <w:t>Related studies on adaptive RL portfolio optimisation (summarised from the project proposal’s literature review; results are as reported by the cited authors and are not reproduced here).</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1944"/>
            <w:tcBorders>
              <w:top w:val="single" w:sz="10" w:color="000000"/>
              <w:bottom w:val="single" w:sz="6" w:color="000000"/>
            </w:tcBorders>
          </w:tcPr>
          <w:p>
            <w:pPr>
              <w:spacing w:after="20"/>
              <w:jc w:val="left"/>
            </w:pPr>
            <w:r/>
            <w:r>
              <w:rPr>
                <w:rFonts w:ascii="Times New Roman" w:hAnsi="Times New Roman"/>
                <w:b/>
                <w:sz w:val="17"/>
              </w:rPr>
              <w:t>Study</w:t>
            </w:r>
          </w:p>
        </w:tc>
        <w:tc>
          <w:tcPr>
            <w:tcW w:type="dxa" w:w="1944"/>
            <w:tcBorders>
              <w:top w:val="single" w:sz="10" w:color="000000"/>
              <w:bottom w:val="single" w:sz="6" w:color="000000"/>
            </w:tcBorders>
          </w:tcPr>
          <w:p>
            <w:pPr>
              <w:spacing w:after="20"/>
              <w:jc w:val="left"/>
            </w:pPr>
            <w:r/>
            <w:r>
              <w:rPr>
                <w:rFonts w:ascii="Times New Roman" w:hAnsi="Times New Roman"/>
                <w:b/>
                <w:sz w:val="17"/>
              </w:rPr>
              <w:t>Objective</w:t>
            </w:r>
          </w:p>
        </w:tc>
        <w:tc>
          <w:tcPr>
            <w:tcW w:type="dxa" w:w="2304"/>
            <w:tcBorders>
              <w:top w:val="single" w:sz="10" w:color="000000"/>
              <w:bottom w:val="single" w:sz="6" w:color="000000"/>
            </w:tcBorders>
          </w:tcPr>
          <w:p>
            <w:pPr>
              <w:spacing w:after="20"/>
              <w:jc w:val="left"/>
            </w:pPr>
            <w:r/>
            <w:r>
              <w:rPr>
                <w:rFonts w:ascii="Times New Roman" w:hAnsi="Times New Roman"/>
                <w:b/>
                <w:sz w:val="17"/>
              </w:rPr>
              <w:t>Methodology</w:t>
            </w:r>
          </w:p>
        </w:tc>
        <w:tc>
          <w:tcPr>
            <w:tcW w:type="dxa" w:w="2880"/>
            <w:tcBorders>
              <w:top w:val="single" w:sz="10" w:color="000000"/>
              <w:bottom w:val="single" w:sz="6" w:color="000000"/>
            </w:tcBorders>
          </w:tcPr>
          <w:p>
            <w:pPr>
              <w:spacing w:after="20"/>
              <w:jc w:val="left"/>
            </w:pPr>
            <w:r/>
            <w:r>
              <w:rPr>
                <w:rFonts w:ascii="Times New Roman" w:hAnsi="Times New Roman"/>
                <w:b/>
                <w:sz w:val="17"/>
              </w:rPr>
              <w:t>Strengths / limitations (as reported)</w:t>
            </w:r>
          </w:p>
        </w:tc>
      </w:tr>
      <w:tr>
        <w:tc>
          <w:tcPr>
            <w:tcW w:type="dxa" w:w="1944"/>
          </w:tcPr>
          <w:p>
            <w:pPr>
              <w:spacing w:after="20" w:line="252" w:lineRule="auto"/>
              <w:jc w:val="left"/>
            </w:pPr>
            <w:r/>
            <w:r>
              <w:rPr>
                <w:rFonts w:ascii="Times New Roman" w:hAnsi="Times New Roman"/>
                <w:sz w:val="17"/>
              </w:rPr>
              <w:t>Zhang (2025) [14]</w:t>
            </w:r>
          </w:p>
        </w:tc>
        <w:tc>
          <w:tcPr>
            <w:tcW w:type="dxa" w:w="1944"/>
          </w:tcPr>
          <w:p>
            <w:pPr>
              <w:spacing w:after="20" w:line="252" w:lineRule="auto"/>
              <w:jc w:val="left"/>
            </w:pPr>
            <w:r/>
            <w:r>
              <w:rPr>
                <w:rFonts w:ascii="Times New Roman" w:hAnsi="Times New Roman"/>
                <w:sz w:val="17"/>
              </w:rPr>
              <w:t>Adapt to time-varying asset correlations</w:t>
            </w:r>
          </w:p>
        </w:tc>
        <w:tc>
          <w:tcPr>
            <w:tcW w:type="dxa" w:w="2304"/>
          </w:tcPr>
          <w:p>
            <w:pPr>
              <w:spacing w:after="20" w:line="252" w:lineRule="auto"/>
              <w:jc w:val="left"/>
            </w:pPr>
            <w:r/>
            <w:r>
              <w:rPr>
                <w:rFonts w:ascii="Times New Roman" w:hAnsi="Times New Roman"/>
                <w:sz w:val="17"/>
              </w:rPr>
              <w:t>Graph-attention network + 3 specialised RL agents</w:t>
            </w:r>
          </w:p>
        </w:tc>
        <w:tc>
          <w:tcPr>
            <w:tcW w:type="dxa" w:w="2880"/>
          </w:tcPr>
          <w:p>
            <w:pPr>
              <w:spacing w:after="20" w:line="252" w:lineRule="auto"/>
              <w:jc w:val="left"/>
            </w:pPr>
            <w:r/>
            <w:r>
              <w:rPr>
                <w:rFonts w:ascii="Times New Roman" w:hAnsi="Times New Roman"/>
                <w:sz w:val="17"/>
              </w:rPr>
              <w:t>High returns; high complexity. Outperforms mean-variance and equal-weight</w:t>
            </w:r>
          </w:p>
        </w:tc>
      </w:tr>
      <w:tr>
        <w:tc>
          <w:tcPr>
            <w:tcW w:type="dxa" w:w="1944"/>
          </w:tcPr>
          <w:p>
            <w:pPr>
              <w:spacing w:after="20" w:line="252" w:lineRule="auto"/>
              <w:jc w:val="left"/>
            </w:pPr>
            <w:r/>
            <w:r>
              <w:rPr>
                <w:rFonts w:ascii="Times New Roman" w:hAnsi="Times New Roman"/>
                <w:sz w:val="17"/>
              </w:rPr>
              <w:t>DRL-APO (2025) [15]</w:t>
            </w:r>
          </w:p>
        </w:tc>
        <w:tc>
          <w:tcPr>
            <w:tcW w:type="dxa" w:w="1944"/>
          </w:tcPr>
          <w:p>
            <w:pPr>
              <w:spacing w:after="20" w:line="252" w:lineRule="auto"/>
              <w:jc w:val="left"/>
            </w:pPr>
            <w:r/>
            <w:r>
              <w:rPr>
                <w:rFonts w:ascii="Times New Roman" w:hAnsi="Times New Roman"/>
                <w:sz w:val="17"/>
              </w:rPr>
              <w:t>Adaptive optimisation for dynamic markets</w:t>
            </w:r>
          </w:p>
        </w:tc>
        <w:tc>
          <w:tcPr>
            <w:tcW w:type="dxa" w:w="2304"/>
          </w:tcPr>
          <w:p>
            <w:pPr>
              <w:spacing w:after="20" w:line="252" w:lineRule="auto"/>
              <w:jc w:val="left"/>
            </w:pPr>
            <w:r/>
            <w:r>
              <w:rPr>
                <w:rFonts w:ascii="Times New Roman" w:hAnsi="Times New Roman"/>
                <w:sz w:val="17"/>
              </w:rPr>
              <w:t>CNN–LSTM encoder + PPO policy gradient</w:t>
            </w:r>
          </w:p>
        </w:tc>
        <w:tc>
          <w:tcPr>
            <w:tcW w:type="dxa" w:w="2880"/>
          </w:tcPr>
          <w:p>
            <w:pPr>
              <w:spacing w:after="20" w:line="252" w:lineRule="auto"/>
              <w:jc w:val="left"/>
            </w:pPr>
            <w:r/>
            <w:r>
              <w:rPr>
                <w:rFonts w:ascii="Times New Roman" w:hAnsi="Times New Roman"/>
                <w:sz w:val="17"/>
              </w:rPr>
              <w:t>Captures temporal patterns; price-only inputs. More adaptive than static models</w:t>
            </w:r>
          </w:p>
        </w:tc>
      </w:tr>
      <w:tr>
        <w:tc>
          <w:tcPr>
            <w:tcW w:type="dxa" w:w="1944"/>
          </w:tcPr>
          <w:p>
            <w:pPr>
              <w:spacing w:after="20" w:line="252" w:lineRule="auto"/>
              <w:jc w:val="left"/>
            </w:pPr>
            <w:r/>
            <w:r>
              <w:rPr>
                <w:rFonts w:ascii="Times New Roman" w:hAnsi="Times New Roman"/>
                <w:sz w:val="17"/>
              </w:rPr>
              <w:t>RL-APM (2025) [8]</w:t>
            </w:r>
          </w:p>
        </w:tc>
        <w:tc>
          <w:tcPr>
            <w:tcW w:type="dxa" w:w="1944"/>
          </w:tcPr>
          <w:p>
            <w:pPr>
              <w:spacing w:after="20" w:line="252" w:lineRule="auto"/>
              <w:jc w:val="left"/>
            </w:pPr>
            <w:r/>
            <w:r>
              <w:rPr>
                <w:rFonts w:ascii="Times New Roman" w:hAnsi="Times New Roman"/>
                <w:sz w:val="17"/>
              </w:rPr>
              <w:t>Real-time single-stock allocation</w:t>
            </w:r>
          </w:p>
        </w:tc>
        <w:tc>
          <w:tcPr>
            <w:tcW w:type="dxa" w:w="2304"/>
          </w:tcPr>
          <w:p>
            <w:pPr>
              <w:spacing w:after="20" w:line="252" w:lineRule="auto"/>
              <w:jc w:val="left"/>
            </w:pPr>
            <w:r/>
            <w:r>
              <w:rPr>
                <w:rFonts w:ascii="Times New Roman" w:hAnsi="Times New Roman"/>
                <w:sz w:val="17"/>
              </w:rPr>
              <w:t>DDPG agent + SMA, RSI, MACD indicators</w:t>
            </w:r>
          </w:p>
        </w:tc>
        <w:tc>
          <w:tcPr>
            <w:tcW w:type="dxa" w:w="2880"/>
          </w:tcPr>
          <w:p>
            <w:pPr>
              <w:spacing w:after="20" w:line="252" w:lineRule="auto"/>
              <w:jc w:val="left"/>
            </w:pPr>
            <w:r/>
            <w:r>
              <w:rPr>
                <w:rFonts w:ascii="Times New Roman" w:hAnsi="Times New Roman"/>
                <w:sz w:val="17"/>
              </w:rPr>
              <w:t>Continuous control; ignores costs and liquidity. Improves on static baselines</w:t>
            </w:r>
          </w:p>
        </w:tc>
      </w:tr>
      <w:tr>
        <w:tc>
          <w:tcPr>
            <w:tcW w:type="dxa" w:w="1944"/>
            <w:tcBorders>
              <w:bottom w:val="single" w:sz="10" w:color="000000"/>
            </w:tcBorders>
          </w:tcPr>
          <w:p>
            <w:pPr>
              <w:spacing w:after="20" w:line="252" w:lineRule="auto"/>
              <w:jc w:val="left"/>
            </w:pPr>
            <w:r/>
            <w:r>
              <w:rPr>
                <w:rFonts w:ascii="Times New Roman" w:hAnsi="Times New Roman"/>
                <w:sz w:val="17"/>
              </w:rPr>
              <w:t>Regime-aware RL (2025) [9]</w:t>
            </w:r>
          </w:p>
        </w:tc>
        <w:tc>
          <w:tcPr>
            <w:tcW w:type="dxa" w:w="1944"/>
            <w:tcBorders>
              <w:bottom w:val="single" w:sz="10" w:color="000000"/>
            </w:tcBorders>
          </w:tcPr>
          <w:p>
            <w:pPr>
              <w:spacing w:after="20" w:line="252" w:lineRule="auto"/>
              <w:jc w:val="left"/>
            </w:pPr>
            <w:r/>
            <w:r>
              <w:rPr>
                <w:rFonts w:ascii="Times New Roman" w:hAnsi="Times New Roman"/>
                <w:sz w:val="17"/>
              </w:rPr>
              <w:t>Regime-adaptive, explainable allocation</w:t>
            </w:r>
          </w:p>
        </w:tc>
        <w:tc>
          <w:tcPr>
            <w:tcW w:type="dxa" w:w="2304"/>
            <w:tcBorders>
              <w:bottom w:val="single" w:sz="10" w:color="000000"/>
            </w:tcBorders>
          </w:tcPr>
          <w:p>
            <w:pPr>
              <w:spacing w:after="20" w:line="252" w:lineRule="auto"/>
              <w:jc w:val="left"/>
            </w:pPr>
            <w:r/>
            <w:r>
              <w:rPr>
                <w:rFonts w:ascii="Times New Roman" w:hAnsi="Times New Roman"/>
                <w:sz w:val="17"/>
              </w:rPr>
              <w:t>Transformer-PPO and LSTM with regime detection</w:t>
            </w:r>
          </w:p>
        </w:tc>
        <w:tc>
          <w:tcPr>
            <w:tcW w:type="dxa" w:w="2880"/>
            <w:tcBorders>
              <w:bottom w:val="single" w:sz="10" w:color="000000"/>
            </w:tcBorders>
          </w:tcPr>
          <w:p>
            <w:pPr>
              <w:spacing w:after="20" w:line="252" w:lineRule="auto"/>
              <w:jc w:val="left"/>
            </w:pPr>
            <w:r/>
            <w:r>
              <w:rPr>
                <w:rFonts w:ascii="Times New Roman" w:hAnsi="Times New Roman"/>
                <w:sz w:val="17"/>
              </w:rPr>
              <w:t>Best returns; LSTM more interpretable. Regime context improves stability</w:t>
            </w:r>
          </w:p>
        </w:tc>
      </w:tr>
    </w:tbl>
    <w:p>
      <w:pPr>
        <w:spacing w:after="80"/>
      </w:pPr>
    </w:p>
    <w:p>
      <w:pPr>
        <w:pStyle w:val="Heading2"/>
      </w:pPr>
      <w:r>
        <w:t>2.4 Transformers and learned representations of time series</w:t>
      </w:r>
    </w:p>
    <w:p>
      <w:pPr>
        <w:keepNext w:val="0"/>
        <w:spacing w:after="120"/>
        <w:jc w:val="both"/>
      </w:pPr>
      <w:r>
        <w:rPr>
          <w:rFonts w:ascii="Times New Roman" w:hAnsi="Times New Roman"/>
        </w:rPr>
        <w:t>The Transformer [16] replaces recurrence with self-attention (Eq. 5 below), allowing every position in a sequence to attend to every other. Zerveas et al. [17] showed that Transformer encoders can be pre-trained without labels on multivariate time series and used as representation learners. We follow this self-supervised autoencoding idea at a deliberately small scale: the encoder compresses a resampled window to a 16-dimensional vector.</w:t>
      </w:r>
    </w:p>
    <w:p>
      <w:pPr>
        <w:pStyle w:val="Heading2"/>
      </w:pPr>
      <w:r>
        <w:t>2.5 Density-based clustering and analogue retrieval</w:t>
      </w:r>
    </w:p>
    <w:p>
      <w:pPr>
        <w:keepNext w:val="0"/>
        <w:spacing w:after="120"/>
        <w:jc w:val="both"/>
      </w:pPr>
      <w:r>
        <w:rPr>
          <w:rFonts w:ascii="Times New Roman" w:hAnsi="Times New Roman"/>
        </w:rPr>
        <w:t>HDBSCAN [18,19] extends DBSCAN to variable-density clusters via a hierarchy of density levels and explicitly labels low-density points as noise, which is attractive when the question is “does this belong to any known group at all?”. We use the scikit-learn implementation [20] to examine the structure of the reference corpus and, as detailed in Section 3.3, score new windows directly against labelled corpus points.</w:t>
      </w:r>
    </w:p>
    <w:p>
      <w:pPr>
        <w:pStyle w:val="Heading2"/>
      </w:pPr>
      <w:r>
        <w:t>2.6 Evolution strategies</w:t>
      </w:r>
    </w:p>
    <w:p>
      <w:pPr>
        <w:keepNext w:val="0"/>
        <w:spacing w:after="120"/>
        <w:jc w:val="both"/>
      </w:pPr>
      <w:r>
        <w:rPr>
          <w:rFonts w:ascii="Times New Roman" w:hAnsi="Times New Roman"/>
        </w:rPr>
        <w:t>Salimans et al. [21] showed that natural-evolution-style strategies, which estimate a gradient from the rewards of randomly perturbed parameter vectors, are a scalable, gradient-free alternative to RL training. We use this method because it needs no automatic-differentiation framework for the allocator and trains in seconds on a laptop CPU.</w:t>
      </w:r>
    </w:p>
    <w:p>
      <w:pPr>
        <w:pStyle w:val="Heading2"/>
      </w:pPr>
      <w:r>
        <w:t>2.7 Positioning</w:t>
      </w:r>
    </w:p>
    <w:p>
      <w:pPr>
        <w:keepNext w:val="0"/>
        <w:spacing w:after="120"/>
        <w:jc w:val="both"/>
      </w:pPr>
      <w:r>
        <w:rPr>
          <w:rFonts w:ascii="Times New Roman" w:hAnsi="Times New Roman"/>
        </w:rPr>
        <w:t>Unlike the surveyed RL studies, which report returns of adaptive agents, this work (i) treats historical-analogue comparison as a first-class, explainable output, (ii) evaluates it with leakage controls and ablations, and (iii) reports multi-seed and bootstrap evidence for the allocator, including where it fails. We make no claim to reproduce or exceed the cited results; the implementation uses evolution strategies rather than PPO/DDPG, as discussed in Section 5.</w:t>
      </w:r>
    </w:p>
    <w:p>
      <w:pPr>
        <w:pStyle w:val="Heading1"/>
      </w:pPr>
      <w:r>
        <w:t>3. Materials and Methods / Methodology</w:t>
      </w:r>
    </w:p>
    <w:p>
      <w:pPr>
        <w:pStyle w:val="Heading2"/>
      </w:pPr>
      <w:r>
        <w:t>3.1 Dataset and data collection</w:t>
      </w:r>
    </w:p>
    <w:p>
      <w:pPr>
        <w:keepNext w:val="0"/>
        <w:spacing w:after="120"/>
        <w:jc w:val="both"/>
      </w:pPr>
      <w:r>
        <w:rPr>
          <w:rFonts w:ascii="Times New Roman" w:hAnsi="Times New Roman"/>
        </w:rPr>
        <w:t xml:space="preserve">All experiments use real daily adjusted-close prices obtained from the Yahoo Finance chart interface [22]. Requests are issued with explicit period timestamps (Yahoo’s “max” range silently coarsens daily bars to roughly monthly bars for long histories), retried with back-off, and cached per symbol on disk for 15 minutes. A calibrated synthetic fallback exists for the three case studies so that the demonstration never fails when the feed is unreachable; it was </w:t>
      </w:r>
      <w:r>
        <w:rPr>
          <w:rFonts w:ascii="Times New Roman" w:hAnsi="Times New Roman"/>
          <w:i/>
        </w:rPr>
        <w:t>not</w:t>
      </w:r>
      <w:r>
        <w:rPr>
          <w:rFonts w:ascii="Times New Roman" w:hAnsi="Times New Roman"/>
        </w:rPr>
        <w:t xml:space="preserve"> used for any result reported here (every backtest in this paper ran on live data). The three crises are defined by calendar windows (Table 2): the dot-com bust (10 March 2000 – 9 October 2002), the 2008 GFC (9 October 2007 – 9 March 2009) and the COVID-19 crash (19 February – 7 April 2020).</w:t>
      </w:r>
    </w:p>
    <w:p>
      <w:pPr>
        <w:keepNext/>
        <w:spacing w:after="60" w:before="160"/>
      </w:pPr>
      <w:r>
        <w:rPr>
          <w:rFonts w:ascii="Times New Roman" w:hAnsi="Times New Roman"/>
          <w:b/>
          <w:sz w:val="19"/>
        </w:rPr>
        <w:t xml:space="preserve">Table 2. </w:t>
      </w:r>
      <w:r>
        <w:rPr>
          <w:rFonts w:ascii="Times New Roman" w:hAnsi="Times New Roman"/>
          <w:sz w:val="19"/>
        </w:rPr>
        <w:t>Backtest settings. The “as deployed” dot-com setting uses gold futures (GC=F), whose history starts in August 2000, after the crisis began; the corrected setting replaces it by the long-history Treasury fund VUSTX so that a genuine pre-crisis training segment exists.</w:t>
      </w:r>
    </w:p>
    <w:tbl>
      <w:tblPr>
        <w:tblW w:type="auto" w:w="0"/>
        <w:jc w:val="center"/>
        <w:tblLayout w:type="fixed"/>
        <w:tblLook w:firstColumn="1" w:firstRow="1" w:lastColumn="0" w:lastRow="0" w:noHBand="0" w:noVBand="1" w:val="04A0"/>
      </w:tblPr>
      <w:tblGrid>
        <w:gridCol w:w="1290"/>
        <w:gridCol w:w="1290"/>
        <w:gridCol w:w="1290"/>
        <w:gridCol w:w="1290"/>
        <w:gridCol w:w="1290"/>
        <w:gridCol w:w="1290"/>
        <w:gridCol w:w="1290"/>
      </w:tblGrid>
      <w:tr>
        <w:tc>
          <w:tcPr>
            <w:tcW w:type="dxa" w:w="1584"/>
            <w:tcBorders>
              <w:top w:val="single" w:sz="10" w:color="000000"/>
              <w:bottom w:val="single" w:sz="6" w:color="000000"/>
            </w:tcBorders>
          </w:tcPr>
          <w:p>
            <w:pPr>
              <w:spacing w:after="20"/>
              <w:jc w:val="left"/>
            </w:pPr>
            <w:r/>
            <w:r>
              <w:rPr>
                <w:rFonts w:ascii="Times New Roman" w:hAnsi="Times New Roman"/>
                <w:b/>
                <w:sz w:val="15"/>
              </w:rPr>
              <w:t>Setting</w:t>
            </w:r>
          </w:p>
        </w:tc>
        <w:tc>
          <w:tcPr>
            <w:tcW w:type="dxa" w:w="1656"/>
            <w:tcBorders>
              <w:top w:val="single" w:sz="10" w:color="000000"/>
              <w:bottom w:val="single" w:sz="6" w:color="000000"/>
            </w:tcBorders>
          </w:tcPr>
          <w:p>
            <w:pPr>
              <w:spacing w:after="20"/>
              <w:jc w:val="left"/>
            </w:pPr>
            <w:r/>
            <w:r>
              <w:rPr>
                <w:rFonts w:ascii="Times New Roman" w:hAnsi="Times New Roman"/>
                <w:b/>
                <w:sz w:val="15"/>
              </w:rPr>
              <w:t>Assets</w:t>
            </w:r>
          </w:p>
        </w:tc>
        <w:tc>
          <w:tcPr>
            <w:tcW w:type="dxa" w:w="1728"/>
            <w:tcBorders>
              <w:top w:val="single" w:sz="10" w:color="000000"/>
              <w:bottom w:val="single" w:sz="6" w:color="000000"/>
            </w:tcBorders>
          </w:tcPr>
          <w:p>
            <w:pPr>
              <w:spacing w:after="20"/>
              <w:jc w:val="center"/>
            </w:pPr>
            <w:r/>
            <w:r>
              <w:rPr>
                <w:rFonts w:ascii="Times New Roman" w:hAnsi="Times New Roman"/>
                <w:b/>
                <w:sz w:val="15"/>
              </w:rPr>
              <w:t>Data window</w:t>
            </w:r>
          </w:p>
        </w:tc>
        <w:tc>
          <w:tcPr>
            <w:tcW w:type="dxa" w:w="792"/>
            <w:tcBorders>
              <w:top w:val="single" w:sz="10" w:color="000000"/>
              <w:bottom w:val="single" w:sz="6" w:color="000000"/>
            </w:tcBorders>
          </w:tcPr>
          <w:p>
            <w:pPr>
              <w:spacing w:after="20"/>
              <w:jc w:val="center"/>
            </w:pPr>
            <w:r/>
            <w:r>
              <w:rPr>
                <w:rFonts w:ascii="Times New Roman" w:hAnsi="Times New Roman"/>
                <w:b/>
                <w:sz w:val="15"/>
              </w:rPr>
              <w:t>Trading days</w:t>
            </w:r>
          </w:p>
        </w:tc>
        <w:tc>
          <w:tcPr>
            <w:tcW w:type="dxa" w:w="1728"/>
            <w:tcBorders>
              <w:top w:val="single" w:sz="10" w:color="000000"/>
              <w:bottom w:val="single" w:sz="6" w:color="000000"/>
            </w:tcBorders>
          </w:tcPr>
          <w:p>
            <w:pPr>
              <w:spacing w:after="20"/>
              <w:jc w:val="center"/>
            </w:pPr>
            <w:r/>
            <w:r>
              <w:rPr>
                <w:rFonts w:ascii="Times New Roman" w:hAnsi="Times New Roman"/>
                <w:b/>
                <w:sz w:val="15"/>
              </w:rPr>
              <w:t>Crisis window</w:t>
            </w:r>
          </w:p>
        </w:tc>
        <w:tc>
          <w:tcPr>
            <w:tcW w:type="dxa" w:w="864"/>
            <w:tcBorders>
              <w:top w:val="single" w:sz="10" w:color="000000"/>
              <w:bottom w:val="single" w:sz="6" w:color="000000"/>
            </w:tcBorders>
          </w:tcPr>
          <w:p>
            <w:pPr>
              <w:spacing w:after="20"/>
              <w:jc w:val="center"/>
            </w:pPr>
            <w:r/>
            <w:r>
              <w:rPr>
                <w:rFonts w:ascii="Times New Roman" w:hAnsi="Times New Roman"/>
                <w:b/>
                <w:sz w:val="15"/>
              </w:rPr>
              <w:t>Train / test days</w:t>
            </w:r>
          </w:p>
        </w:tc>
        <w:tc>
          <w:tcPr>
            <w:tcW w:type="dxa" w:w="1008"/>
            <w:tcBorders>
              <w:top w:val="single" w:sz="10" w:color="000000"/>
              <w:bottom w:val="single" w:sz="6" w:color="000000"/>
            </w:tcBorders>
          </w:tcPr>
          <w:p>
            <w:pPr>
              <w:spacing w:after="20"/>
              <w:jc w:val="center"/>
            </w:pPr>
            <w:r/>
            <w:r>
              <w:rPr>
                <w:rFonts w:ascii="Times New Roman" w:hAnsi="Times New Roman"/>
                <w:b/>
                <w:sz w:val="15"/>
              </w:rPr>
              <w:t>Split date</w:t>
            </w:r>
          </w:p>
        </w:tc>
      </w:tr>
      <w:tr>
        <w:tc>
          <w:tcPr>
            <w:tcW w:type="dxa" w:w="1584"/>
          </w:tcPr>
          <w:p>
            <w:pPr>
              <w:spacing w:after="20" w:line="252" w:lineRule="auto"/>
              <w:jc w:val="left"/>
            </w:pPr>
            <w:r/>
            <w:r>
              <w:rPr>
                <w:rFonts w:ascii="Times New Roman" w:hAnsi="Times New Roman"/>
                <w:sz w:val="15"/>
              </w:rPr>
              <w:t>Dot-com (as deployed)</w:t>
            </w:r>
          </w:p>
        </w:tc>
        <w:tc>
          <w:tcPr>
            <w:tcW w:type="dxa" w:w="1656"/>
          </w:tcPr>
          <w:p>
            <w:pPr>
              <w:spacing w:after="20" w:line="252" w:lineRule="auto"/>
              <w:jc w:val="left"/>
            </w:pPr>
            <w:r/>
            <w:r>
              <w:rPr>
                <w:rFonts w:ascii="Times New Roman" w:hAnsi="Times New Roman"/>
                <w:sz w:val="15"/>
              </w:rPr>
              <w:t>SPY, QQQ, GC=F</w:t>
            </w:r>
          </w:p>
        </w:tc>
        <w:tc>
          <w:tcPr>
            <w:tcW w:type="dxa" w:w="1728"/>
          </w:tcPr>
          <w:p>
            <w:pPr>
              <w:spacing w:after="20" w:line="252" w:lineRule="auto"/>
              <w:jc w:val="center"/>
            </w:pPr>
            <w:r/>
            <w:r>
              <w:rPr>
                <w:rFonts w:ascii="Times New Roman" w:hAnsi="Times New Roman"/>
                <w:sz w:val="15"/>
              </w:rPr>
              <w:t>2000-08-31 – 2003-12-31</w:t>
            </w:r>
          </w:p>
        </w:tc>
        <w:tc>
          <w:tcPr>
            <w:tcW w:type="dxa" w:w="792"/>
          </w:tcPr>
          <w:p>
            <w:pPr>
              <w:spacing w:after="20" w:line="252" w:lineRule="auto"/>
              <w:jc w:val="center"/>
            </w:pPr>
            <w:r/>
            <w:r>
              <w:rPr>
                <w:rFonts w:ascii="Times New Roman" w:hAnsi="Times New Roman"/>
                <w:sz w:val="15"/>
              </w:rPr>
              <w:t>829</w:t>
            </w:r>
          </w:p>
        </w:tc>
        <w:tc>
          <w:tcPr>
            <w:tcW w:type="dxa" w:w="1728"/>
          </w:tcPr>
          <w:p>
            <w:pPr>
              <w:spacing w:after="20" w:line="252" w:lineRule="auto"/>
              <w:jc w:val="center"/>
            </w:pPr>
            <w:r/>
            <w:r>
              <w:rPr>
                <w:rFonts w:ascii="Times New Roman" w:hAnsi="Times New Roman"/>
                <w:sz w:val="15"/>
              </w:rPr>
              <w:t>2000-03-10 – 2002-10-09</w:t>
            </w:r>
          </w:p>
        </w:tc>
        <w:tc>
          <w:tcPr>
            <w:tcW w:type="dxa" w:w="864"/>
          </w:tcPr>
          <w:p>
            <w:pPr>
              <w:spacing w:after="20" w:line="252" w:lineRule="auto"/>
              <w:jc w:val="center"/>
            </w:pPr>
            <w:r/>
            <w:r>
              <w:rPr>
                <w:rFonts w:ascii="Times New Roman" w:hAnsi="Times New Roman"/>
                <w:sz w:val="15"/>
              </w:rPr>
              <w:t>30 / 799</w:t>
            </w:r>
          </w:p>
        </w:tc>
        <w:tc>
          <w:tcPr>
            <w:tcW w:type="dxa" w:w="1008"/>
          </w:tcPr>
          <w:p>
            <w:pPr>
              <w:spacing w:after="20" w:line="252" w:lineRule="auto"/>
              <w:jc w:val="center"/>
            </w:pPr>
            <w:r/>
            <w:r>
              <w:rPr>
                <w:rFonts w:ascii="Times New Roman" w:hAnsi="Times New Roman"/>
                <w:sz w:val="15"/>
              </w:rPr>
              <w:t>2000-10-13</w:t>
            </w:r>
          </w:p>
        </w:tc>
      </w:tr>
      <w:tr>
        <w:tc>
          <w:tcPr>
            <w:tcW w:type="dxa" w:w="1584"/>
          </w:tcPr>
          <w:p>
            <w:pPr>
              <w:spacing w:after="20" w:line="252" w:lineRule="auto"/>
              <w:jc w:val="left"/>
            </w:pPr>
            <w:r/>
            <w:r>
              <w:rPr>
                <w:rFonts w:ascii="Times New Roman" w:hAnsi="Times New Roman"/>
                <w:sz w:val="15"/>
              </w:rPr>
              <w:t>Dot-com (corrected)</w:t>
            </w:r>
          </w:p>
        </w:tc>
        <w:tc>
          <w:tcPr>
            <w:tcW w:type="dxa" w:w="1656"/>
          </w:tcPr>
          <w:p>
            <w:pPr>
              <w:spacing w:after="20" w:line="252" w:lineRule="auto"/>
              <w:jc w:val="left"/>
            </w:pPr>
            <w:r/>
            <w:r>
              <w:rPr>
                <w:rFonts w:ascii="Times New Roman" w:hAnsi="Times New Roman"/>
                <w:sz w:val="15"/>
              </w:rPr>
              <w:t>SPY, QQQ, VUSTX</w:t>
            </w:r>
          </w:p>
        </w:tc>
        <w:tc>
          <w:tcPr>
            <w:tcW w:type="dxa" w:w="1728"/>
          </w:tcPr>
          <w:p>
            <w:pPr>
              <w:spacing w:after="20" w:line="252" w:lineRule="auto"/>
              <w:jc w:val="center"/>
            </w:pPr>
            <w:r/>
            <w:r>
              <w:rPr>
                <w:rFonts w:ascii="Times New Roman" w:hAnsi="Times New Roman"/>
                <w:sz w:val="15"/>
              </w:rPr>
              <w:t>1999-06-02 – 2003-12-31</w:t>
            </w:r>
          </w:p>
        </w:tc>
        <w:tc>
          <w:tcPr>
            <w:tcW w:type="dxa" w:w="792"/>
          </w:tcPr>
          <w:p>
            <w:pPr>
              <w:spacing w:after="20" w:line="252" w:lineRule="auto"/>
              <w:jc w:val="center"/>
            </w:pPr>
            <w:r/>
            <w:r>
              <w:rPr>
                <w:rFonts w:ascii="Times New Roman" w:hAnsi="Times New Roman"/>
                <w:sz w:val="15"/>
              </w:rPr>
              <w:t>1153</w:t>
            </w:r>
          </w:p>
        </w:tc>
        <w:tc>
          <w:tcPr>
            <w:tcW w:type="dxa" w:w="1728"/>
          </w:tcPr>
          <w:p>
            <w:pPr>
              <w:spacing w:after="20" w:line="252" w:lineRule="auto"/>
              <w:jc w:val="center"/>
            </w:pPr>
            <w:r/>
            <w:r>
              <w:rPr>
                <w:rFonts w:ascii="Times New Roman" w:hAnsi="Times New Roman"/>
                <w:sz w:val="15"/>
              </w:rPr>
              <w:t>2000-03-10 – 2002-10-09</w:t>
            </w:r>
          </w:p>
        </w:tc>
        <w:tc>
          <w:tcPr>
            <w:tcW w:type="dxa" w:w="864"/>
          </w:tcPr>
          <w:p>
            <w:pPr>
              <w:spacing w:after="20" w:line="252" w:lineRule="auto"/>
              <w:jc w:val="center"/>
            </w:pPr>
            <w:r/>
            <w:r>
              <w:rPr>
                <w:rFonts w:ascii="Times New Roman" w:hAnsi="Times New Roman"/>
                <w:sz w:val="15"/>
              </w:rPr>
              <w:t>196 / 957</w:t>
            </w:r>
          </w:p>
        </w:tc>
        <w:tc>
          <w:tcPr>
            <w:tcW w:type="dxa" w:w="1008"/>
          </w:tcPr>
          <w:p>
            <w:pPr>
              <w:spacing w:after="20" w:line="252" w:lineRule="auto"/>
              <w:jc w:val="center"/>
            </w:pPr>
            <w:r/>
            <w:r>
              <w:rPr>
                <w:rFonts w:ascii="Times New Roman" w:hAnsi="Times New Roman"/>
                <w:sz w:val="15"/>
              </w:rPr>
              <w:t>2000-03-10</w:t>
            </w:r>
          </w:p>
        </w:tc>
      </w:tr>
      <w:tr>
        <w:tc>
          <w:tcPr>
            <w:tcW w:type="dxa" w:w="1584"/>
          </w:tcPr>
          <w:p>
            <w:pPr>
              <w:spacing w:after="20" w:line="252" w:lineRule="auto"/>
              <w:jc w:val="left"/>
            </w:pPr>
            <w:r/>
            <w:r>
              <w:rPr>
                <w:rFonts w:ascii="Times New Roman" w:hAnsi="Times New Roman"/>
                <w:sz w:val="15"/>
              </w:rPr>
              <w:t>2008 GFC</w:t>
            </w:r>
          </w:p>
        </w:tc>
        <w:tc>
          <w:tcPr>
            <w:tcW w:type="dxa" w:w="1656"/>
          </w:tcPr>
          <w:p>
            <w:pPr>
              <w:spacing w:after="20" w:line="252" w:lineRule="auto"/>
              <w:jc w:val="left"/>
            </w:pPr>
            <w:r/>
            <w:r>
              <w:rPr>
                <w:rFonts w:ascii="Times New Roman" w:hAnsi="Times New Roman"/>
                <w:sz w:val="15"/>
              </w:rPr>
              <w:t>SPY, QQQ, GLD, TLT</w:t>
            </w:r>
          </w:p>
        </w:tc>
        <w:tc>
          <w:tcPr>
            <w:tcW w:type="dxa" w:w="1728"/>
          </w:tcPr>
          <w:p>
            <w:pPr>
              <w:spacing w:after="20" w:line="252" w:lineRule="auto"/>
              <w:jc w:val="center"/>
            </w:pPr>
            <w:r/>
            <w:r>
              <w:rPr>
                <w:rFonts w:ascii="Times New Roman" w:hAnsi="Times New Roman"/>
                <w:sz w:val="15"/>
              </w:rPr>
              <w:t>2006-01-04 – 2010-12-31</w:t>
            </w:r>
          </w:p>
        </w:tc>
        <w:tc>
          <w:tcPr>
            <w:tcW w:type="dxa" w:w="792"/>
          </w:tcPr>
          <w:p>
            <w:pPr>
              <w:spacing w:after="20" w:line="252" w:lineRule="auto"/>
              <w:jc w:val="center"/>
            </w:pPr>
            <w:r/>
            <w:r>
              <w:rPr>
                <w:rFonts w:ascii="Times New Roman" w:hAnsi="Times New Roman"/>
                <w:sz w:val="15"/>
              </w:rPr>
              <w:t>1258</w:t>
            </w:r>
          </w:p>
        </w:tc>
        <w:tc>
          <w:tcPr>
            <w:tcW w:type="dxa" w:w="1728"/>
          </w:tcPr>
          <w:p>
            <w:pPr>
              <w:spacing w:after="20" w:line="252" w:lineRule="auto"/>
              <w:jc w:val="center"/>
            </w:pPr>
            <w:r/>
            <w:r>
              <w:rPr>
                <w:rFonts w:ascii="Times New Roman" w:hAnsi="Times New Roman"/>
                <w:sz w:val="15"/>
              </w:rPr>
              <w:t>2007-10-09 – 2009-03-09</w:t>
            </w:r>
          </w:p>
        </w:tc>
        <w:tc>
          <w:tcPr>
            <w:tcW w:type="dxa" w:w="864"/>
          </w:tcPr>
          <w:p>
            <w:pPr>
              <w:spacing w:after="20" w:line="252" w:lineRule="auto"/>
              <w:jc w:val="center"/>
            </w:pPr>
            <w:r/>
            <w:r>
              <w:rPr>
                <w:rFonts w:ascii="Times New Roman" w:hAnsi="Times New Roman"/>
                <w:sz w:val="15"/>
              </w:rPr>
              <w:t>443 / 815</w:t>
            </w:r>
          </w:p>
        </w:tc>
        <w:tc>
          <w:tcPr>
            <w:tcW w:type="dxa" w:w="1008"/>
          </w:tcPr>
          <w:p>
            <w:pPr>
              <w:spacing w:after="20" w:line="252" w:lineRule="auto"/>
              <w:jc w:val="center"/>
            </w:pPr>
            <w:r/>
            <w:r>
              <w:rPr>
                <w:rFonts w:ascii="Times New Roman" w:hAnsi="Times New Roman"/>
                <w:sz w:val="15"/>
              </w:rPr>
              <w:t>2007-10-09</w:t>
            </w:r>
          </w:p>
        </w:tc>
      </w:tr>
      <w:tr>
        <w:tc>
          <w:tcPr>
            <w:tcW w:type="dxa" w:w="1584"/>
            <w:tcBorders>
              <w:bottom w:val="single" w:sz="10" w:color="000000"/>
            </w:tcBorders>
          </w:tcPr>
          <w:p>
            <w:pPr>
              <w:spacing w:after="20" w:line="252" w:lineRule="auto"/>
              <w:jc w:val="left"/>
            </w:pPr>
            <w:r/>
            <w:r>
              <w:rPr>
                <w:rFonts w:ascii="Times New Roman" w:hAnsi="Times New Roman"/>
                <w:sz w:val="15"/>
              </w:rPr>
              <w:t>COVID-19</w:t>
            </w:r>
          </w:p>
        </w:tc>
        <w:tc>
          <w:tcPr>
            <w:tcW w:type="dxa" w:w="1656"/>
            <w:tcBorders>
              <w:bottom w:val="single" w:sz="10" w:color="000000"/>
            </w:tcBorders>
          </w:tcPr>
          <w:p>
            <w:pPr>
              <w:spacing w:after="20" w:line="252" w:lineRule="auto"/>
              <w:jc w:val="left"/>
            </w:pPr>
            <w:r/>
            <w:r>
              <w:rPr>
                <w:rFonts w:ascii="Times New Roman" w:hAnsi="Times New Roman"/>
                <w:sz w:val="15"/>
              </w:rPr>
              <w:t>SPY, QQQ, GLD, TLT</w:t>
            </w:r>
          </w:p>
        </w:tc>
        <w:tc>
          <w:tcPr>
            <w:tcW w:type="dxa" w:w="1728"/>
            <w:tcBorders>
              <w:bottom w:val="single" w:sz="10" w:color="000000"/>
            </w:tcBorders>
          </w:tcPr>
          <w:p>
            <w:pPr>
              <w:spacing w:after="20" w:line="252" w:lineRule="auto"/>
              <w:jc w:val="center"/>
            </w:pPr>
            <w:r/>
            <w:r>
              <w:rPr>
                <w:rFonts w:ascii="Times New Roman" w:hAnsi="Times New Roman"/>
                <w:sz w:val="15"/>
              </w:rPr>
              <w:t>2019-01-03 – 2021-12-31</w:t>
            </w:r>
          </w:p>
        </w:tc>
        <w:tc>
          <w:tcPr>
            <w:tcW w:type="dxa" w:w="792"/>
            <w:tcBorders>
              <w:bottom w:val="single" w:sz="10" w:color="000000"/>
            </w:tcBorders>
          </w:tcPr>
          <w:p>
            <w:pPr>
              <w:spacing w:after="20" w:line="252" w:lineRule="auto"/>
              <w:jc w:val="center"/>
            </w:pPr>
            <w:r/>
            <w:r>
              <w:rPr>
                <w:rFonts w:ascii="Times New Roman" w:hAnsi="Times New Roman"/>
                <w:sz w:val="15"/>
              </w:rPr>
              <w:t>756</w:t>
            </w:r>
          </w:p>
        </w:tc>
        <w:tc>
          <w:tcPr>
            <w:tcW w:type="dxa" w:w="1728"/>
            <w:tcBorders>
              <w:bottom w:val="single" w:sz="10" w:color="000000"/>
            </w:tcBorders>
          </w:tcPr>
          <w:p>
            <w:pPr>
              <w:spacing w:after="20" w:line="252" w:lineRule="auto"/>
              <w:jc w:val="center"/>
            </w:pPr>
            <w:r/>
            <w:r>
              <w:rPr>
                <w:rFonts w:ascii="Times New Roman" w:hAnsi="Times New Roman"/>
                <w:sz w:val="15"/>
              </w:rPr>
              <w:t>2020-02-19 – 2020-04-07</w:t>
            </w:r>
          </w:p>
        </w:tc>
        <w:tc>
          <w:tcPr>
            <w:tcW w:type="dxa" w:w="864"/>
            <w:tcBorders>
              <w:bottom w:val="single" w:sz="10" w:color="000000"/>
            </w:tcBorders>
          </w:tcPr>
          <w:p>
            <w:pPr>
              <w:spacing w:after="20" w:line="252" w:lineRule="auto"/>
              <w:jc w:val="center"/>
            </w:pPr>
            <w:r/>
            <w:r>
              <w:rPr>
                <w:rFonts w:ascii="Times New Roman" w:hAnsi="Times New Roman"/>
                <w:sz w:val="15"/>
              </w:rPr>
              <w:t>283 / 473</w:t>
            </w:r>
          </w:p>
        </w:tc>
        <w:tc>
          <w:tcPr>
            <w:tcW w:type="dxa" w:w="1008"/>
            <w:tcBorders>
              <w:bottom w:val="single" w:sz="10" w:color="000000"/>
            </w:tcBorders>
          </w:tcPr>
          <w:p>
            <w:pPr>
              <w:spacing w:after="20" w:line="252" w:lineRule="auto"/>
              <w:jc w:val="center"/>
            </w:pPr>
            <w:r/>
            <w:r>
              <w:rPr>
                <w:rFonts w:ascii="Times New Roman" w:hAnsi="Times New Roman"/>
                <w:sz w:val="15"/>
              </w:rPr>
              <w:t>2020-02-19</w:t>
            </w:r>
          </w:p>
        </w:tc>
      </w:tr>
    </w:tbl>
    <w:p>
      <w:pPr>
        <w:spacing w:after="80"/>
      </w:pPr>
    </w:p>
    <w:p>
      <w:pPr>
        <w:keepNext/>
        <w:spacing w:after="60" w:before="160"/>
      </w:pPr>
      <w:r>
        <w:rPr>
          <w:rFonts w:ascii="Times New Roman" w:hAnsi="Times New Roman"/>
          <w:b/>
          <w:sz w:val="19"/>
        </w:rPr>
        <w:t xml:space="preserve">Table 3. </w:t>
      </w:r>
      <w:r>
        <w:rPr>
          <w:rFonts w:ascii="Times New Roman" w:hAnsi="Times New Roman"/>
          <w:sz w:val="19"/>
        </w:rPr>
        <w:t>Descriptive statistics of the assets over each backtest data window (adjusted close; annualised with 252 trading days).</w:t>
      </w:r>
    </w:p>
    <w:tbl>
      <w:tblPr>
        <w:tblW w:type="auto" w:w="0"/>
        <w:jc w:val="center"/>
        <w:tblLayout w:type="fixed"/>
        <w:tblLook w:firstColumn="1" w:firstRow="1" w:lastColumn="0" w:lastRow="0" w:noHBand="0" w:noVBand="1" w:val="04A0"/>
      </w:tblPr>
      <w:tblGrid>
        <w:gridCol w:w="1290"/>
        <w:gridCol w:w="1290"/>
        <w:gridCol w:w="1290"/>
        <w:gridCol w:w="1290"/>
        <w:gridCol w:w="1290"/>
        <w:gridCol w:w="1290"/>
        <w:gridCol w:w="1290"/>
      </w:tblGrid>
      <w:tr>
        <w:tc>
          <w:tcPr>
            <w:tcW w:type="dxa" w:w="1656"/>
            <w:tcBorders>
              <w:top w:val="single" w:sz="10" w:color="000000"/>
              <w:bottom w:val="single" w:sz="6" w:color="000000"/>
            </w:tcBorders>
          </w:tcPr>
          <w:p>
            <w:pPr>
              <w:spacing w:after="20"/>
              <w:jc w:val="left"/>
            </w:pPr>
            <w:r/>
            <w:r>
              <w:rPr>
                <w:rFonts w:ascii="Times New Roman" w:hAnsi="Times New Roman"/>
                <w:b/>
                <w:sz w:val="15"/>
              </w:rPr>
              <w:t>Setting</w:t>
            </w:r>
          </w:p>
        </w:tc>
        <w:tc>
          <w:tcPr>
            <w:tcW w:type="dxa" w:w="936"/>
            <w:tcBorders>
              <w:top w:val="single" w:sz="10" w:color="000000"/>
              <w:bottom w:val="single" w:sz="6" w:color="000000"/>
            </w:tcBorders>
          </w:tcPr>
          <w:p>
            <w:pPr>
              <w:spacing w:after="20"/>
              <w:jc w:val="left"/>
            </w:pPr>
            <w:r/>
            <w:r>
              <w:rPr>
                <w:rFonts w:ascii="Times New Roman" w:hAnsi="Times New Roman"/>
                <w:b/>
                <w:sz w:val="15"/>
              </w:rPr>
              <w:t>Asset</w:t>
            </w:r>
          </w:p>
        </w:tc>
        <w:tc>
          <w:tcPr>
            <w:tcW w:type="dxa" w:w="2232"/>
            <w:tcBorders>
              <w:top w:val="single" w:sz="10" w:color="000000"/>
              <w:bottom w:val="single" w:sz="6" w:color="000000"/>
            </w:tcBorders>
          </w:tcPr>
          <w:p>
            <w:pPr>
              <w:spacing w:after="20"/>
              <w:jc w:val="center"/>
            </w:pPr>
            <w:r/>
            <w:r>
              <w:rPr>
                <w:rFonts w:ascii="Times New Roman" w:hAnsi="Times New Roman"/>
                <w:b/>
                <w:sz w:val="15"/>
              </w:rPr>
              <w:t>Period</w:t>
            </w:r>
          </w:p>
        </w:tc>
        <w:tc>
          <w:tcPr>
            <w:tcW w:type="dxa" w:w="648"/>
            <w:tcBorders>
              <w:top w:val="single" w:sz="10" w:color="000000"/>
              <w:bottom w:val="single" w:sz="6" w:color="000000"/>
            </w:tcBorders>
          </w:tcPr>
          <w:p>
            <w:pPr>
              <w:spacing w:after="20"/>
              <w:jc w:val="center"/>
            </w:pPr>
            <w:r/>
            <w:r>
              <w:rPr>
                <w:rFonts w:ascii="Times New Roman" w:hAnsi="Times New Roman"/>
                <w:b/>
                <w:sz w:val="15"/>
              </w:rPr>
              <w:t>N</w:t>
            </w:r>
          </w:p>
        </w:tc>
        <w:tc>
          <w:tcPr>
            <w:tcW w:type="dxa" w:w="1152"/>
            <w:tcBorders>
              <w:top w:val="single" w:sz="10" w:color="000000"/>
              <w:bottom w:val="single" w:sz="6" w:color="000000"/>
            </w:tcBorders>
          </w:tcPr>
          <w:p>
            <w:pPr>
              <w:spacing w:after="20"/>
              <w:jc w:val="center"/>
            </w:pPr>
            <w:r/>
            <w:r>
              <w:rPr>
                <w:rFonts w:ascii="Times New Roman" w:hAnsi="Times New Roman"/>
                <w:b/>
                <w:sz w:val="15"/>
              </w:rPr>
              <w:t>Ann. return</w:t>
            </w:r>
          </w:p>
        </w:tc>
        <w:tc>
          <w:tcPr>
            <w:tcW w:type="dxa" w:w="1296"/>
            <w:tcBorders>
              <w:top w:val="single" w:sz="10" w:color="000000"/>
              <w:bottom w:val="single" w:sz="6" w:color="000000"/>
            </w:tcBorders>
          </w:tcPr>
          <w:p>
            <w:pPr>
              <w:spacing w:after="20"/>
              <w:jc w:val="center"/>
            </w:pPr>
            <w:r/>
            <w:r>
              <w:rPr>
                <w:rFonts w:ascii="Times New Roman" w:hAnsi="Times New Roman"/>
                <w:b/>
                <w:sz w:val="15"/>
              </w:rPr>
              <w:t>Ann. volatility</w:t>
            </w:r>
          </w:p>
        </w:tc>
        <w:tc>
          <w:tcPr>
            <w:tcW w:type="dxa" w:w="1224"/>
            <w:tcBorders>
              <w:top w:val="single" w:sz="10" w:color="000000"/>
              <w:bottom w:val="single" w:sz="6" w:color="000000"/>
            </w:tcBorders>
          </w:tcPr>
          <w:p>
            <w:pPr>
              <w:spacing w:after="20"/>
              <w:jc w:val="center"/>
            </w:pPr>
            <w:r/>
            <w:r>
              <w:rPr>
                <w:rFonts w:ascii="Times New Roman" w:hAnsi="Times New Roman"/>
                <w:b/>
                <w:sz w:val="15"/>
              </w:rPr>
              <w:t>Max drawdown</w:t>
            </w:r>
          </w:p>
        </w:tc>
      </w:tr>
      <w:tr>
        <w:tc>
          <w:tcPr>
            <w:tcW w:type="dxa" w:w="1656"/>
          </w:tcPr>
          <w:p>
            <w:pPr>
              <w:spacing w:after="20" w:line="252" w:lineRule="auto"/>
              <w:jc w:val="left"/>
            </w:pPr>
            <w:r/>
            <w:r>
              <w:rPr>
                <w:rFonts w:ascii="Times New Roman" w:hAnsi="Times New Roman"/>
                <w:sz w:val="15"/>
              </w:rPr>
              <w:t>Dot-com (as deployed)</w:t>
            </w:r>
          </w:p>
        </w:tc>
        <w:tc>
          <w:tcPr>
            <w:tcW w:type="dxa" w:w="936"/>
          </w:tcPr>
          <w:p>
            <w:pPr>
              <w:spacing w:after="20" w:line="252" w:lineRule="auto"/>
              <w:jc w:val="left"/>
            </w:pPr>
            <w:r/>
            <w:r>
              <w:rPr>
                <w:rFonts w:ascii="Times New Roman" w:hAnsi="Times New Roman"/>
                <w:sz w:val="15"/>
              </w:rPr>
              <w:t>SPY</w:t>
            </w:r>
          </w:p>
        </w:tc>
        <w:tc>
          <w:tcPr>
            <w:tcW w:type="dxa" w:w="2232"/>
          </w:tcPr>
          <w:p>
            <w:pPr>
              <w:spacing w:after="20" w:line="252" w:lineRule="auto"/>
              <w:jc w:val="center"/>
            </w:pPr>
            <w:r/>
            <w:r>
              <w:rPr>
                <w:rFonts w:ascii="Times New Roman" w:hAnsi="Times New Roman"/>
                <w:sz w:val="15"/>
              </w:rPr>
              <w:t>2000-08-30 – 2003-12-31</w:t>
            </w:r>
          </w:p>
        </w:tc>
        <w:tc>
          <w:tcPr>
            <w:tcW w:type="dxa" w:w="648"/>
          </w:tcPr>
          <w:p>
            <w:pPr>
              <w:spacing w:after="20" w:line="252" w:lineRule="auto"/>
              <w:jc w:val="center"/>
            </w:pPr>
            <w:r/>
            <w:r>
              <w:rPr>
                <w:rFonts w:ascii="Times New Roman" w:hAnsi="Times New Roman"/>
                <w:sz w:val="15"/>
              </w:rPr>
              <w:t>830</w:t>
            </w:r>
          </w:p>
        </w:tc>
        <w:tc>
          <w:tcPr>
            <w:tcW w:type="dxa" w:w="1152"/>
          </w:tcPr>
          <w:p>
            <w:pPr>
              <w:spacing w:after="20" w:line="252" w:lineRule="auto"/>
              <w:jc w:val="center"/>
            </w:pPr>
            <w:r/>
            <w:r>
              <w:rPr>
                <w:rFonts w:ascii="Times New Roman" w:hAnsi="Times New Roman"/>
                <w:sz w:val="15"/>
              </w:rPr>
              <w:t>-7.3%</w:t>
            </w:r>
          </w:p>
        </w:tc>
        <w:tc>
          <w:tcPr>
            <w:tcW w:type="dxa" w:w="1296"/>
          </w:tcPr>
          <w:p>
            <w:pPr>
              <w:spacing w:after="20" w:line="252" w:lineRule="auto"/>
              <w:jc w:val="center"/>
            </w:pPr>
            <w:r/>
            <w:r>
              <w:rPr>
                <w:rFonts w:ascii="Times New Roman" w:hAnsi="Times New Roman"/>
                <w:sz w:val="15"/>
              </w:rPr>
              <w:t>22.3%</w:t>
            </w:r>
          </w:p>
        </w:tc>
        <w:tc>
          <w:tcPr>
            <w:tcW w:type="dxa" w:w="1224"/>
          </w:tcPr>
          <w:p>
            <w:pPr>
              <w:spacing w:after="20" w:line="252" w:lineRule="auto"/>
              <w:jc w:val="center"/>
            </w:pPr>
            <w:r/>
            <w:r>
              <w:rPr>
                <w:rFonts w:ascii="Times New Roman" w:hAnsi="Times New Roman"/>
                <w:sz w:val="15"/>
              </w:rPr>
              <w:t>-47.3%</w:t>
            </w:r>
          </w:p>
        </w:tc>
      </w:tr>
      <w:tr>
        <w:tc>
          <w:tcPr>
            <w:tcW w:type="dxa" w:w="1656"/>
          </w:tcPr>
          <w:p>
            <w:pPr>
              <w:spacing w:after="20" w:line="252" w:lineRule="auto"/>
              <w:jc w:val="left"/>
            </w:pPr>
            <w:r/>
            <w:r>
              <w:rPr>
                <w:rFonts w:ascii="Times New Roman" w:hAnsi="Times New Roman"/>
                <w:sz w:val="15"/>
              </w:rPr>
              <w:t>Dot-com (as deployed)</w:t>
            </w:r>
          </w:p>
        </w:tc>
        <w:tc>
          <w:tcPr>
            <w:tcW w:type="dxa" w:w="936"/>
          </w:tcPr>
          <w:p>
            <w:pPr>
              <w:spacing w:after="20" w:line="252" w:lineRule="auto"/>
              <w:jc w:val="left"/>
            </w:pPr>
            <w:r/>
            <w:r>
              <w:rPr>
                <w:rFonts w:ascii="Times New Roman" w:hAnsi="Times New Roman"/>
                <w:sz w:val="15"/>
              </w:rPr>
              <w:t>QQQ</w:t>
            </w:r>
          </w:p>
        </w:tc>
        <w:tc>
          <w:tcPr>
            <w:tcW w:type="dxa" w:w="2232"/>
          </w:tcPr>
          <w:p>
            <w:pPr>
              <w:spacing w:after="20" w:line="252" w:lineRule="auto"/>
              <w:jc w:val="center"/>
            </w:pPr>
            <w:r/>
            <w:r>
              <w:rPr>
                <w:rFonts w:ascii="Times New Roman" w:hAnsi="Times New Roman"/>
                <w:sz w:val="15"/>
              </w:rPr>
              <w:t>2000-08-30 – 2003-12-31</w:t>
            </w:r>
          </w:p>
        </w:tc>
        <w:tc>
          <w:tcPr>
            <w:tcW w:type="dxa" w:w="648"/>
          </w:tcPr>
          <w:p>
            <w:pPr>
              <w:spacing w:after="20" w:line="252" w:lineRule="auto"/>
              <w:jc w:val="center"/>
            </w:pPr>
            <w:r/>
            <w:r>
              <w:rPr>
                <w:rFonts w:ascii="Times New Roman" w:hAnsi="Times New Roman"/>
                <w:sz w:val="15"/>
              </w:rPr>
              <w:t>830</w:t>
            </w:r>
          </w:p>
        </w:tc>
        <w:tc>
          <w:tcPr>
            <w:tcW w:type="dxa" w:w="1152"/>
          </w:tcPr>
          <w:p>
            <w:pPr>
              <w:spacing w:after="20" w:line="252" w:lineRule="auto"/>
              <w:jc w:val="center"/>
            </w:pPr>
            <w:r/>
            <w:r>
              <w:rPr>
                <w:rFonts w:ascii="Times New Roman" w:hAnsi="Times New Roman"/>
                <w:sz w:val="15"/>
              </w:rPr>
              <w:t>-26.1%</w:t>
            </w:r>
          </w:p>
        </w:tc>
        <w:tc>
          <w:tcPr>
            <w:tcW w:type="dxa" w:w="1296"/>
          </w:tcPr>
          <w:p>
            <w:pPr>
              <w:spacing w:after="20" w:line="252" w:lineRule="auto"/>
              <w:jc w:val="center"/>
            </w:pPr>
            <w:r/>
            <w:r>
              <w:rPr>
                <w:rFonts w:ascii="Times New Roman" w:hAnsi="Times New Roman"/>
                <w:sz w:val="15"/>
              </w:rPr>
              <w:t>44.5%</w:t>
            </w:r>
          </w:p>
        </w:tc>
        <w:tc>
          <w:tcPr>
            <w:tcW w:type="dxa" w:w="1224"/>
          </w:tcPr>
          <w:p>
            <w:pPr>
              <w:spacing w:after="20" w:line="252" w:lineRule="auto"/>
              <w:jc w:val="center"/>
            </w:pPr>
            <w:r/>
            <w:r>
              <w:rPr>
                <w:rFonts w:ascii="Times New Roman" w:hAnsi="Times New Roman"/>
                <w:sz w:val="15"/>
              </w:rPr>
              <w:t>-80.5%</w:t>
            </w:r>
          </w:p>
        </w:tc>
      </w:tr>
      <w:tr>
        <w:tc>
          <w:tcPr>
            <w:tcW w:type="dxa" w:w="1656"/>
          </w:tcPr>
          <w:p>
            <w:pPr>
              <w:spacing w:after="20" w:line="252" w:lineRule="auto"/>
              <w:jc w:val="left"/>
            </w:pPr>
            <w:r/>
            <w:r>
              <w:rPr>
                <w:rFonts w:ascii="Times New Roman" w:hAnsi="Times New Roman"/>
                <w:sz w:val="15"/>
              </w:rPr>
              <w:t>Dot-com (as deployed)</w:t>
            </w:r>
          </w:p>
        </w:tc>
        <w:tc>
          <w:tcPr>
            <w:tcW w:type="dxa" w:w="936"/>
          </w:tcPr>
          <w:p>
            <w:pPr>
              <w:spacing w:after="20" w:line="252" w:lineRule="auto"/>
              <w:jc w:val="left"/>
            </w:pPr>
            <w:r/>
            <w:r>
              <w:rPr>
                <w:rFonts w:ascii="Times New Roman" w:hAnsi="Times New Roman"/>
                <w:sz w:val="15"/>
              </w:rPr>
              <w:t>GC=F</w:t>
            </w:r>
          </w:p>
        </w:tc>
        <w:tc>
          <w:tcPr>
            <w:tcW w:type="dxa" w:w="2232"/>
          </w:tcPr>
          <w:p>
            <w:pPr>
              <w:spacing w:after="20" w:line="252" w:lineRule="auto"/>
              <w:jc w:val="center"/>
            </w:pPr>
            <w:r/>
            <w:r>
              <w:rPr>
                <w:rFonts w:ascii="Times New Roman" w:hAnsi="Times New Roman"/>
                <w:sz w:val="15"/>
              </w:rPr>
              <w:t>2000-08-30 – 2003-12-31</w:t>
            </w:r>
          </w:p>
        </w:tc>
        <w:tc>
          <w:tcPr>
            <w:tcW w:type="dxa" w:w="648"/>
          </w:tcPr>
          <w:p>
            <w:pPr>
              <w:spacing w:after="20" w:line="252" w:lineRule="auto"/>
              <w:jc w:val="center"/>
            </w:pPr>
            <w:r/>
            <w:r>
              <w:rPr>
                <w:rFonts w:ascii="Times New Roman" w:hAnsi="Times New Roman"/>
                <w:sz w:val="15"/>
              </w:rPr>
              <w:t>830</w:t>
            </w:r>
          </w:p>
        </w:tc>
        <w:tc>
          <w:tcPr>
            <w:tcW w:type="dxa" w:w="1152"/>
          </w:tcPr>
          <w:p>
            <w:pPr>
              <w:spacing w:after="20" w:line="252" w:lineRule="auto"/>
              <w:jc w:val="center"/>
            </w:pPr>
            <w:r/>
            <w:r>
              <w:rPr>
                <w:rFonts w:ascii="Times New Roman" w:hAnsi="Times New Roman"/>
                <w:sz w:val="15"/>
              </w:rPr>
              <w:t>13.5%</w:t>
            </w:r>
          </w:p>
        </w:tc>
        <w:tc>
          <w:tcPr>
            <w:tcW w:type="dxa" w:w="1296"/>
          </w:tcPr>
          <w:p>
            <w:pPr>
              <w:spacing w:after="20" w:line="252" w:lineRule="auto"/>
              <w:jc w:val="center"/>
            </w:pPr>
            <w:r/>
            <w:r>
              <w:rPr>
                <w:rFonts w:ascii="Times New Roman" w:hAnsi="Times New Roman"/>
                <w:sz w:val="15"/>
              </w:rPr>
              <w:t>14.7%</w:t>
            </w:r>
          </w:p>
        </w:tc>
        <w:tc>
          <w:tcPr>
            <w:tcW w:type="dxa" w:w="1224"/>
          </w:tcPr>
          <w:p>
            <w:pPr>
              <w:spacing w:after="20" w:line="252" w:lineRule="auto"/>
              <w:jc w:val="center"/>
            </w:pPr>
            <w:r/>
            <w:r>
              <w:rPr>
                <w:rFonts w:ascii="Times New Roman" w:hAnsi="Times New Roman"/>
                <w:sz w:val="15"/>
              </w:rPr>
              <w:t>-15.2%</w:t>
            </w:r>
          </w:p>
        </w:tc>
      </w:tr>
      <w:tr>
        <w:tc>
          <w:tcPr>
            <w:tcW w:type="dxa" w:w="1656"/>
          </w:tcPr>
          <w:p>
            <w:pPr>
              <w:spacing w:after="20" w:line="252" w:lineRule="auto"/>
              <w:jc w:val="left"/>
            </w:pPr>
            <w:r/>
            <w:r>
              <w:rPr>
                <w:rFonts w:ascii="Times New Roman" w:hAnsi="Times New Roman"/>
                <w:sz w:val="15"/>
              </w:rPr>
              <w:t>Dot-com (corrected)</w:t>
            </w:r>
          </w:p>
        </w:tc>
        <w:tc>
          <w:tcPr>
            <w:tcW w:type="dxa" w:w="936"/>
          </w:tcPr>
          <w:p>
            <w:pPr>
              <w:spacing w:after="20" w:line="252" w:lineRule="auto"/>
              <w:jc w:val="left"/>
            </w:pPr>
            <w:r/>
            <w:r>
              <w:rPr>
                <w:rFonts w:ascii="Times New Roman" w:hAnsi="Times New Roman"/>
                <w:sz w:val="15"/>
              </w:rPr>
              <w:t>SPY</w:t>
            </w:r>
          </w:p>
        </w:tc>
        <w:tc>
          <w:tcPr>
            <w:tcW w:type="dxa" w:w="2232"/>
          </w:tcPr>
          <w:p>
            <w:pPr>
              <w:spacing w:after="20" w:line="252" w:lineRule="auto"/>
              <w:jc w:val="center"/>
            </w:pPr>
            <w:r/>
            <w:r>
              <w:rPr>
                <w:rFonts w:ascii="Times New Roman" w:hAnsi="Times New Roman"/>
                <w:sz w:val="15"/>
              </w:rPr>
              <w:t>1999-06-01 – 2003-12-31</w:t>
            </w:r>
          </w:p>
        </w:tc>
        <w:tc>
          <w:tcPr>
            <w:tcW w:type="dxa" w:w="648"/>
          </w:tcPr>
          <w:p>
            <w:pPr>
              <w:spacing w:after="20" w:line="252" w:lineRule="auto"/>
              <w:jc w:val="center"/>
            </w:pPr>
            <w:r/>
            <w:r>
              <w:rPr>
                <w:rFonts w:ascii="Times New Roman" w:hAnsi="Times New Roman"/>
                <w:sz w:val="15"/>
              </w:rPr>
              <w:t>1154</w:t>
            </w:r>
          </w:p>
        </w:tc>
        <w:tc>
          <w:tcPr>
            <w:tcW w:type="dxa" w:w="1152"/>
          </w:tcPr>
          <w:p>
            <w:pPr>
              <w:spacing w:after="20" w:line="252" w:lineRule="auto"/>
              <w:jc w:val="center"/>
            </w:pPr>
            <w:r/>
            <w:r>
              <w:rPr>
                <w:rFonts w:ascii="Times New Roman" w:hAnsi="Times New Roman"/>
                <w:sz w:val="15"/>
              </w:rPr>
              <w:t>-2.0%</w:t>
            </w:r>
          </w:p>
        </w:tc>
        <w:tc>
          <w:tcPr>
            <w:tcW w:type="dxa" w:w="1296"/>
          </w:tcPr>
          <w:p>
            <w:pPr>
              <w:spacing w:after="20" w:line="252" w:lineRule="auto"/>
              <w:jc w:val="center"/>
            </w:pPr>
            <w:r/>
            <w:r>
              <w:rPr>
                <w:rFonts w:ascii="Times New Roman" w:hAnsi="Times New Roman"/>
                <w:sz w:val="15"/>
              </w:rPr>
              <w:t>21.9%</w:t>
            </w:r>
          </w:p>
        </w:tc>
        <w:tc>
          <w:tcPr>
            <w:tcW w:type="dxa" w:w="1224"/>
          </w:tcPr>
          <w:p>
            <w:pPr>
              <w:spacing w:after="20" w:line="252" w:lineRule="auto"/>
              <w:jc w:val="center"/>
            </w:pPr>
            <w:r/>
            <w:r>
              <w:rPr>
                <w:rFonts w:ascii="Times New Roman" w:hAnsi="Times New Roman"/>
                <w:sz w:val="15"/>
              </w:rPr>
              <w:t>-47.5%</w:t>
            </w:r>
          </w:p>
        </w:tc>
      </w:tr>
      <w:tr>
        <w:tc>
          <w:tcPr>
            <w:tcW w:type="dxa" w:w="1656"/>
          </w:tcPr>
          <w:p>
            <w:pPr>
              <w:spacing w:after="20" w:line="252" w:lineRule="auto"/>
              <w:jc w:val="left"/>
            </w:pPr>
            <w:r/>
            <w:r>
              <w:rPr>
                <w:rFonts w:ascii="Times New Roman" w:hAnsi="Times New Roman"/>
                <w:sz w:val="15"/>
              </w:rPr>
              <w:t>Dot-com (corrected)</w:t>
            </w:r>
          </w:p>
        </w:tc>
        <w:tc>
          <w:tcPr>
            <w:tcW w:type="dxa" w:w="936"/>
          </w:tcPr>
          <w:p>
            <w:pPr>
              <w:spacing w:after="20" w:line="252" w:lineRule="auto"/>
              <w:jc w:val="left"/>
            </w:pPr>
            <w:r/>
            <w:r>
              <w:rPr>
                <w:rFonts w:ascii="Times New Roman" w:hAnsi="Times New Roman"/>
                <w:sz w:val="15"/>
              </w:rPr>
              <w:t>QQQ</w:t>
            </w:r>
          </w:p>
        </w:tc>
        <w:tc>
          <w:tcPr>
            <w:tcW w:type="dxa" w:w="2232"/>
          </w:tcPr>
          <w:p>
            <w:pPr>
              <w:spacing w:after="20" w:line="252" w:lineRule="auto"/>
              <w:jc w:val="center"/>
            </w:pPr>
            <w:r/>
            <w:r>
              <w:rPr>
                <w:rFonts w:ascii="Times New Roman" w:hAnsi="Times New Roman"/>
                <w:sz w:val="15"/>
              </w:rPr>
              <w:t>1999-06-01 – 2003-12-31</w:t>
            </w:r>
          </w:p>
        </w:tc>
        <w:tc>
          <w:tcPr>
            <w:tcW w:type="dxa" w:w="648"/>
          </w:tcPr>
          <w:p>
            <w:pPr>
              <w:spacing w:after="20" w:line="252" w:lineRule="auto"/>
              <w:jc w:val="center"/>
            </w:pPr>
            <w:r/>
            <w:r>
              <w:rPr>
                <w:rFonts w:ascii="Times New Roman" w:hAnsi="Times New Roman"/>
                <w:sz w:val="15"/>
              </w:rPr>
              <w:t>1154</w:t>
            </w:r>
          </w:p>
        </w:tc>
        <w:tc>
          <w:tcPr>
            <w:tcW w:type="dxa" w:w="1152"/>
          </w:tcPr>
          <w:p>
            <w:pPr>
              <w:spacing w:after="20" w:line="252" w:lineRule="auto"/>
              <w:jc w:val="center"/>
            </w:pPr>
            <w:r/>
            <w:r>
              <w:rPr>
                <w:rFonts w:ascii="Times New Roman" w:hAnsi="Times New Roman"/>
                <w:sz w:val="15"/>
              </w:rPr>
              <w:t>-7.0%</w:t>
            </w:r>
          </w:p>
        </w:tc>
        <w:tc>
          <w:tcPr>
            <w:tcW w:type="dxa" w:w="1296"/>
          </w:tcPr>
          <w:p>
            <w:pPr>
              <w:spacing w:after="20" w:line="252" w:lineRule="auto"/>
              <w:jc w:val="center"/>
            </w:pPr>
            <w:r/>
            <w:r>
              <w:rPr>
                <w:rFonts w:ascii="Times New Roman" w:hAnsi="Times New Roman"/>
                <w:sz w:val="15"/>
              </w:rPr>
              <w:t>44.8%</w:t>
            </w:r>
          </w:p>
        </w:tc>
        <w:tc>
          <w:tcPr>
            <w:tcW w:type="dxa" w:w="1224"/>
          </w:tcPr>
          <w:p>
            <w:pPr>
              <w:spacing w:after="20" w:line="252" w:lineRule="auto"/>
              <w:jc w:val="center"/>
            </w:pPr>
            <w:r/>
            <w:r>
              <w:rPr>
                <w:rFonts w:ascii="Times New Roman" w:hAnsi="Times New Roman"/>
                <w:sz w:val="15"/>
              </w:rPr>
              <w:t>-83.0%</w:t>
            </w:r>
          </w:p>
        </w:tc>
      </w:tr>
      <w:tr>
        <w:tc>
          <w:tcPr>
            <w:tcW w:type="dxa" w:w="1656"/>
          </w:tcPr>
          <w:p>
            <w:pPr>
              <w:spacing w:after="20" w:line="252" w:lineRule="auto"/>
              <w:jc w:val="left"/>
            </w:pPr>
            <w:r/>
            <w:r>
              <w:rPr>
                <w:rFonts w:ascii="Times New Roman" w:hAnsi="Times New Roman"/>
                <w:sz w:val="15"/>
              </w:rPr>
              <w:t>Dot-com (corrected)</w:t>
            </w:r>
          </w:p>
        </w:tc>
        <w:tc>
          <w:tcPr>
            <w:tcW w:type="dxa" w:w="936"/>
          </w:tcPr>
          <w:p>
            <w:pPr>
              <w:spacing w:after="20" w:line="252" w:lineRule="auto"/>
              <w:jc w:val="left"/>
            </w:pPr>
            <w:r/>
            <w:r>
              <w:rPr>
                <w:rFonts w:ascii="Times New Roman" w:hAnsi="Times New Roman"/>
                <w:sz w:val="15"/>
              </w:rPr>
              <w:t>VUSTX</w:t>
            </w:r>
          </w:p>
        </w:tc>
        <w:tc>
          <w:tcPr>
            <w:tcW w:type="dxa" w:w="2232"/>
          </w:tcPr>
          <w:p>
            <w:pPr>
              <w:spacing w:after="20" w:line="252" w:lineRule="auto"/>
              <w:jc w:val="center"/>
            </w:pPr>
            <w:r/>
            <w:r>
              <w:rPr>
                <w:rFonts w:ascii="Times New Roman" w:hAnsi="Times New Roman"/>
                <w:sz w:val="15"/>
              </w:rPr>
              <w:t>1999-06-01 – 2003-12-31</w:t>
            </w:r>
          </w:p>
        </w:tc>
        <w:tc>
          <w:tcPr>
            <w:tcW w:type="dxa" w:w="648"/>
          </w:tcPr>
          <w:p>
            <w:pPr>
              <w:spacing w:after="20" w:line="252" w:lineRule="auto"/>
              <w:jc w:val="center"/>
            </w:pPr>
            <w:r/>
            <w:r>
              <w:rPr>
                <w:rFonts w:ascii="Times New Roman" w:hAnsi="Times New Roman"/>
                <w:sz w:val="15"/>
              </w:rPr>
              <w:t>1154</w:t>
            </w:r>
          </w:p>
        </w:tc>
        <w:tc>
          <w:tcPr>
            <w:tcW w:type="dxa" w:w="1152"/>
          </w:tcPr>
          <w:p>
            <w:pPr>
              <w:spacing w:after="20" w:line="252" w:lineRule="auto"/>
              <w:jc w:val="center"/>
            </w:pPr>
            <w:r/>
            <w:r>
              <w:rPr>
                <w:rFonts w:ascii="Times New Roman" w:hAnsi="Times New Roman"/>
                <w:sz w:val="15"/>
              </w:rPr>
              <w:t>8.7%</w:t>
            </w:r>
          </w:p>
        </w:tc>
        <w:tc>
          <w:tcPr>
            <w:tcW w:type="dxa" w:w="1296"/>
          </w:tcPr>
          <w:p>
            <w:pPr>
              <w:spacing w:after="20" w:line="252" w:lineRule="auto"/>
              <w:jc w:val="center"/>
            </w:pPr>
            <w:r/>
            <w:r>
              <w:rPr>
                <w:rFonts w:ascii="Times New Roman" w:hAnsi="Times New Roman"/>
                <w:sz w:val="15"/>
              </w:rPr>
              <w:t>9.5%</w:t>
            </w:r>
          </w:p>
        </w:tc>
        <w:tc>
          <w:tcPr>
            <w:tcW w:type="dxa" w:w="1224"/>
          </w:tcPr>
          <w:p>
            <w:pPr>
              <w:spacing w:after="20" w:line="252" w:lineRule="auto"/>
              <w:jc w:val="center"/>
            </w:pPr>
            <w:r/>
            <w:r>
              <w:rPr>
                <w:rFonts w:ascii="Times New Roman" w:hAnsi="Times New Roman"/>
                <w:sz w:val="15"/>
              </w:rPr>
              <w:t>-12.8%</w:t>
            </w:r>
          </w:p>
        </w:tc>
      </w:tr>
      <w:tr>
        <w:tc>
          <w:tcPr>
            <w:tcW w:type="dxa" w:w="1656"/>
          </w:tcPr>
          <w:p>
            <w:pPr>
              <w:spacing w:after="20" w:line="252" w:lineRule="auto"/>
              <w:jc w:val="left"/>
            </w:pPr>
            <w:r/>
            <w:r>
              <w:rPr>
                <w:rFonts w:ascii="Times New Roman" w:hAnsi="Times New Roman"/>
                <w:sz w:val="15"/>
              </w:rPr>
              <w:t>2008 GFC</w:t>
            </w:r>
          </w:p>
        </w:tc>
        <w:tc>
          <w:tcPr>
            <w:tcW w:type="dxa" w:w="936"/>
          </w:tcPr>
          <w:p>
            <w:pPr>
              <w:spacing w:after="20" w:line="252" w:lineRule="auto"/>
              <w:jc w:val="left"/>
            </w:pPr>
            <w:r/>
            <w:r>
              <w:rPr>
                <w:rFonts w:ascii="Times New Roman" w:hAnsi="Times New Roman"/>
                <w:sz w:val="15"/>
              </w:rPr>
              <w:t>SPY</w:t>
            </w:r>
          </w:p>
        </w:tc>
        <w:tc>
          <w:tcPr>
            <w:tcW w:type="dxa" w:w="2232"/>
          </w:tcPr>
          <w:p>
            <w:pPr>
              <w:spacing w:after="20" w:line="252" w:lineRule="auto"/>
              <w:jc w:val="center"/>
            </w:pPr>
            <w:r/>
            <w:r>
              <w:rPr>
                <w:rFonts w:ascii="Times New Roman" w:hAnsi="Times New Roman"/>
                <w:sz w:val="15"/>
              </w:rPr>
              <w:t>2006-01-03 – 2010-12-31</w:t>
            </w:r>
          </w:p>
        </w:tc>
        <w:tc>
          <w:tcPr>
            <w:tcW w:type="dxa" w:w="648"/>
          </w:tcPr>
          <w:p>
            <w:pPr>
              <w:spacing w:after="20" w:line="252" w:lineRule="auto"/>
              <w:jc w:val="center"/>
            </w:pPr>
            <w:r/>
            <w:r>
              <w:rPr>
                <w:rFonts w:ascii="Times New Roman" w:hAnsi="Times New Roman"/>
                <w:sz w:val="15"/>
              </w:rPr>
              <w:t>1259</w:t>
            </w:r>
          </w:p>
        </w:tc>
        <w:tc>
          <w:tcPr>
            <w:tcW w:type="dxa" w:w="1152"/>
          </w:tcPr>
          <w:p>
            <w:pPr>
              <w:spacing w:after="20" w:line="252" w:lineRule="auto"/>
              <w:jc w:val="center"/>
            </w:pPr>
            <w:r/>
            <w:r>
              <w:rPr>
                <w:rFonts w:ascii="Times New Roman" w:hAnsi="Times New Roman"/>
                <w:sz w:val="15"/>
              </w:rPr>
              <w:t>1.9%</w:t>
            </w:r>
          </w:p>
        </w:tc>
        <w:tc>
          <w:tcPr>
            <w:tcW w:type="dxa" w:w="1296"/>
          </w:tcPr>
          <w:p>
            <w:pPr>
              <w:spacing w:after="20" w:line="252" w:lineRule="auto"/>
              <w:jc w:val="center"/>
            </w:pPr>
            <w:r/>
            <w:r>
              <w:rPr>
                <w:rFonts w:ascii="Times New Roman" w:hAnsi="Times New Roman"/>
                <w:sz w:val="15"/>
              </w:rPr>
              <w:t>24.9%</w:t>
            </w:r>
          </w:p>
        </w:tc>
        <w:tc>
          <w:tcPr>
            <w:tcW w:type="dxa" w:w="1224"/>
          </w:tcPr>
          <w:p>
            <w:pPr>
              <w:spacing w:after="20" w:line="252" w:lineRule="auto"/>
              <w:jc w:val="center"/>
            </w:pPr>
            <w:r/>
            <w:r>
              <w:rPr>
                <w:rFonts w:ascii="Times New Roman" w:hAnsi="Times New Roman"/>
                <w:sz w:val="15"/>
              </w:rPr>
              <w:t>-55.2%</w:t>
            </w:r>
          </w:p>
        </w:tc>
      </w:tr>
      <w:tr>
        <w:tc>
          <w:tcPr>
            <w:tcW w:type="dxa" w:w="1656"/>
          </w:tcPr>
          <w:p>
            <w:pPr>
              <w:spacing w:after="20" w:line="252" w:lineRule="auto"/>
              <w:jc w:val="left"/>
            </w:pPr>
            <w:r/>
            <w:r>
              <w:rPr>
                <w:rFonts w:ascii="Times New Roman" w:hAnsi="Times New Roman"/>
                <w:sz w:val="15"/>
              </w:rPr>
              <w:t>2008 GFC</w:t>
            </w:r>
          </w:p>
        </w:tc>
        <w:tc>
          <w:tcPr>
            <w:tcW w:type="dxa" w:w="936"/>
          </w:tcPr>
          <w:p>
            <w:pPr>
              <w:spacing w:after="20" w:line="252" w:lineRule="auto"/>
              <w:jc w:val="left"/>
            </w:pPr>
            <w:r/>
            <w:r>
              <w:rPr>
                <w:rFonts w:ascii="Times New Roman" w:hAnsi="Times New Roman"/>
                <w:sz w:val="15"/>
              </w:rPr>
              <w:t>QQQ</w:t>
            </w:r>
          </w:p>
        </w:tc>
        <w:tc>
          <w:tcPr>
            <w:tcW w:type="dxa" w:w="2232"/>
          </w:tcPr>
          <w:p>
            <w:pPr>
              <w:spacing w:after="20" w:line="252" w:lineRule="auto"/>
              <w:jc w:val="center"/>
            </w:pPr>
            <w:r/>
            <w:r>
              <w:rPr>
                <w:rFonts w:ascii="Times New Roman" w:hAnsi="Times New Roman"/>
                <w:sz w:val="15"/>
              </w:rPr>
              <w:t>2006-01-03 – 2010-12-31</w:t>
            </w:r>
          </w:p>
        </w:tc>
        <w:tc>
          <w:tcPr>
            <w:tcW w:type="dxa" w:w="648"/>
          </w:tcPr>
          <w:p>
            <w:pPr>
              <w:spacing w:after="20" w:line="252" w:lineRule="auto"/>
              <w:jc w:val="center"/>
            </w:pPr>
            <w:r/>
            <w:r>
              <w:rPr>
                <w:rFonts w:ascii="Times New Roman" w:hAnsi="Times New Roman"/>
                <w:sz w:val="15"/>
              </w:rPr>
              <w:t>1259</w:t>
            </w:r>
          </w:p>
        </w:tc>
        <w:tc>
          <w:tcPr>
            <w:tcW w:type="dxa" w:w="1152"/>
          </w:tcPr>
          <w:p>
            <w:pPr>
              <w:spacing w:after="20" w:line="252" w:lineRule="auto"/>
              <w:jc w:val="center"/>
            </w:pPr>
            <w:r/>
            <w:r>
              <w:rPr>
                <w:rFonts w:ascii="Times New Roman" w:hAnsi="Times New Roman"/>
                <w:sz w:val="15"/>
              </w:rPr>
              <w:t>6.2%</w:t>
            </w:r>
          </w:p>
        </w:tc>
        <w:tc>
          <w:tcPr>
            <w:tcW w:type="dxa" w:w="1296"/>
          </w:tcPr>
          <w:p>
            <w:pPr>
              <w:spacing w:after="20" w:line="252" w:lineRule="auto"/>
              <w:jc w:val="center"/>
            </w:pPr>
            <w:r/>
            <w:r>
              <w:rPr>
                <w:rFonts w:ascii="Times New Roman" w:hAnsi="Times New Roman"/>
                <w:sz w:val="15"/>
              </w:rPr>
              <w:t>25.3%</w:t>
            </w:r>
          </w:p>
        </w:tc>
        <w:tc>
          <w:tcPr>
            <w:tcW w:type="dxa" w:w="1224"/>
          </w:tcPr>
          <w:p>
            <w:pPr>
              <w:spacing w:after="20" w:line="252" w:lineRule="auto"/>
              <w:jc w:val="center"/>
            </w:pPr>
            <w:r/>
            <w:r>
              <w:rPr>
                <w:rFonts w:ascii="Times New Roman" w:hAnsi="Times New Roman"/>
                <w:sz w:val="15"/>
              </w:rPr>
              <w:t>-53.4%</w:t>
            </w:r>
          </w:p>
        </w:tc>
      </w:tr>
      <w:tr>
        <w:tc>
          <w:tcPr>
            <w:tcW w:type="dxa" w:w="1656"/>
          </w:tcPr>
          <w:p>
            <w:pPr>
              <w:spacing w:after="20" w:line="252" w:lineRule="auto"/>
              <w:jc w:val="left"/>
            </w:pPr>
            <w:r/>
            <w:r>
              <w:rPr>
                <w:rFonts w:ascii="Times New Roman" w:hAnsi="Times New Roman"/>
                <w:sz w:val="15"/>
              </w:rPr>
              <w:t>2008 GFC</w:t>
            </w:r>
          </w:p>
        </w:tc>
        <w:tc>
          <w:tcPr>
            <w:tcW w:type="dxa" w:w="936"/>
          </w:tcPr>
          <w:p>
            <w:pPr>
              <w:spacing w:after="20" w:line="252" w:lineRule="auto"/>
              <w:jc w:val="left"/>
            </w:pPr>
            <w:r/>
            <w:r>
              <w:rPr>
                <w:rFonts w:ascii="Times New Roman" w:hAnsi="Times New Roman"/>
                <w:sz w:val="15"/>
              </w:rPr>
              <w:t>GLD</w:t>
            </w:r>
          </w:p>
        </w:tc>
        <w:tc>
          <w:tcPr>
            <w:tcW w:type="dxa" w:w="2232"/>
          </w:tcPr>
          <w:p>
            <w:pPr>
              <w:spacing w:after="20" w:line="252" w:lineRule="auto"/>
              <w:jc w:val="center"/>
            </w:pPr>
            <w:r/>
            <w:r>
              <w:rPr>
                <w:rFonts w:ascii="Times New Roman" w:hAnsi="Times New Roman"/>
                <w:sz w:val="15"/>
              </w:rPr>
              <w:t>2006-01-03 – 2010-12-31</w:t>
            </w:r>
          </w:p>
        </w:tc>
        <w:tc>
          <w:tcPr>
            <w:tcW w:type="dxa" w:w="648"/>
          </w:tcPr>
          <w:p>
            <w:pPr>
              <w:spacing w:after="20" w:line="252" w:lineRule="auto"/>
              <w:jc w:val="center"/>
            </w:pPr>
            <w:r/>
            <w:r>
              <w:rPr>
                <w:rFonts w:ascii="Times New Roman" w:hAnsi="Times New Roman"/>
                <w:sz w:val="15"/>
              </w:rPr>
              <w:t>1259</w:t>
            </w:r>
          </w:p>
        </w:tc>
        <w:tc>
          <w:tcPr>
            <w:tcW w:type="dxa" w:w="1152"/>
          </w:tcPr>
          <w:p>
            <w:pPr>
              <w:spacing w:after="20" w:line="252" w:lineRule="auto"/>
              <w:jc w:val="center"/>
            </w:pPr>
            <w:r/>
            <w:r>
              <w:rPr>
                <w:rFonts w:ascii="Times New Roman" w:hAnsi="Times New Roman"/>
                <w:sz w:val="15"/>
              </w:rPr>
              <w:t>21.2%</w:t>
            </w:r>
          </w:p>
        </w:tc>
        <w:tc>
          <w:tcPr>
            <w:tcW w:type="dxa" w:w="1296"/>
          </w:tcPr>
          <w:p>
            <w:pPr>
              <w:spacing w:after="20" w:line="252" w:lineRule="auto"/>
              <w:jc w:val="center"/>
            </w:pPr>
            <w:r/>
            <w:r>
              <w:rPr>
                <w:rFonts w:ascii="Times New Roman" w:hAnsi="Times New Roman"/>
                <w:sz w:val="15"/>
              </w:rPr>
              <w:t>23.1%</w:t>
            </w:r>
          </w:p>
        </w:tc>
        <w:tc>
          <w:tcPr>
            <w:tcW w:type="dxa" w:w="1224"/>
          </w:tcPr>
          <w:p>
            <w:pPr>
              <w:spacing w:after="20" w:line="252" w:lineRule="auto"/>
              <w:jc w:val="center"/>
            </w:pPr>
            <w:r/>
            <w:r>
              <w:rPr>
                <w:rFonts w:ascii="Times New Roman" w:hAnsi="Times New Roman"/>
                <w:sz w:val="15"/>
              </w:rPr>
              <w:t>-29.4%</w:t>
            </w:r>
          </w:p>
        </w:tc>
      </w:tr>
      <w:tr>
        <w:tc>
          <w:tcPr>
            <w:tcW w:type="dxa" w:w="1656"/>
          </w:tcPr>
          <w:p>
            <w:pPr>
              <w:spacing w:after="20" w:line="252" w:lineRule="auto"/>
              <w:jc w:val="left"/>
            </w:pPr>
            <w:r/>
            <w:r>
              <w:rPr>
                <w:rFonts w:ascii="Times New Roman" w:hAnsi="Times New Roman"/>
                <w:sz w:val="15"/>
              </w:rPr>
              <w:t>2008 GFC</w:t>
            </w:r>
          </w:p>
        </w:tc>
        <w:tc>
          <w:tcPr>
            <w:tcW w:type="dxa" w:w="936"/>
          </w:tcPr>
          <w:p>
            <w:pPr>
              <w:spacing w:after="20" w:line="252" w:lineRule="auto"/>
              <w:jc w:val="left"/>
            </w:pPr>
            <w:r/>
            <w:r>
              <w:rPr>
                <w:rFonts w:ascii="Times New Roman" w:hAnsi="Times New Roman"/>
                <w:sz w:val="15"/>
              </w:rPr>
              <w:t>TLT</w:t>
            </w:r>
          </w:p>
        </w:tc>
        <w:tc>
          <w:tcPr>
            <w:tcW w:type="dxa" w:w="2232"/>
          </w:tcPr>
          <w:p>
            <w:pPr>
              <w:spacing w:after="20" w:line="252" w:lineRule="auto"/>
              <w:jc w:val="center"/>
            </w:pPr>
            <w:r/>
            <w:r>
              <w:rPr>
                <w:rFonts w:ascii="Times New Roman" w:hAnsi="Times New Roman"/>
                <w:sz w:val="15"/>
              </w:rPr>
              <w:t>2006-01-03 – 2010-12-31</w:t>
            </w:r>
          </w:p>
        </w:tc>
        <w:tc>
          <w:tcPr>
            <w:tcW w:type="dxa" w:w="648"/>
          </w:tcPr>
          <w:p>
            <w:pPr>
              <w:spacing w:after="20" w:line="252" w:lineRule="auto"/>
              <w:jc w:val="center"/>
            </w:pPr>
            <w:r/>
            <w:r>
              <w:rPr>
                <w:rFonts w:ascii="Times New Roman" w:hAnsi="Times New Roman"/>
                <w:sz w:val="15"/>
              </w:rPr>
              <w:t>1259</w:t>
            </w:r>
          </w:p>
        </w:tc>
        <w:tc>
          <w:tcPr>
            <w:tcW w:type="dxa" w:w="1152"/>
          </w:tcPr>
          <w:p>
            <w:pPr>
              <w:spacing w:after="20" w:line="252" w:lineRule="auto"/>
              <w:jc w:val="center"/>
            </w:pPr>
            <w:r/>
            <w:r>
              <w:rPr>
                <w:rFonts w:ascii="Times New Roman" w:hAnsi="Times New Roman"/>
                <w:sz w:val="15"/>
              </w:rPr>
              <w:t>4.9%</w:t>
            </w:r>
          </w:p>
        </w:tc>
        <w:tc>
          <w:tcPr>
            <w:tcW w:type="dxa" w:w="1296"/>
          </w:tcPr>
          <w:p>
            <w:pPr>
              <w:spacing w:after="20" w:line="252" w:lineRule="auto"/>
              <w:jc w:val="center"/>
            </w:pPr>
            <w:r/>
            <w:r>
              <w:rPr>
                <w:rFonts w:ascii="Times New Roman" w:hAnsi="Times New Roman"/>
                <w:sz w:val="15"/>
              </w:rPr>
              <w:t>14.5%</w:t>
            </w:r>
          </w:p>
        </w:tc>
        <w:tc>
          <w:tcPr>
            <w:tcW w:type="dxa" w:w="1224"/>
          </w:tcPr>
          <w:p>
            <w:pPr>
              <w:spacing w:after="20" w:line="252" w:lineRule="auto"/>
              <w:jc w:val="center"/>
            </w:pPr>
            <w:r/>
            <w:r>
              <w:rPr>
                <w:rFonts w:ascii="Times New Roman" w:hAnsi="Times New Roman"/>
                <w:sz w:val="15"/>
              </w:rPr>
              <w:t>-26.6%</w:t>
            </w:r>
          </w:p>
        </w:tc>
      </w:tr>
      <w:tr>
        <w:tc>
          <w:tcPr>
            <w:tcW w:type="dxa" w:w="1656"/>
          </w:tcPr>
          <w:p>
            <w:pPr>
              <w:spacing w:after="20" w:line="252" w:lineRule="auto"/>
              <w:jc w:val="left"/>
            </w:pPr>
            <w:r/>
            <w:r>
              <w:rPr>
                <w:rFonts w:ascii="Times New Roman" w:hAnsi="Times New Roman"/>
                <w:sz w:val="15"/>
              </w:rPr>
              <w:t>COVID-19</w:t>
            </w:r>
          </w:p>
        </w:tc>
        <w:tc>
          <w:tcPr>
            <w:tcW w:type="dxa" w:w="936"/>
          </w:tcPr>
          <w:p>
            <w:pPr>
              <w:spacing w:after="20" w:line="252" w:lineRule="auto"/>
              <w:jc w:val="left"/>
            </w:pPr>
            <w:r/>
            <w:r>
              <w:rPr>
                <w:rFonts w:ascii="Times New Roman" w:hAnsi="Times New Roman"/>
                <w:sz w:val="15"/>
              </w:rPr>
              <w:t>SPY</w:t>
            </w:r>
          </w:p>
        </w:tc>
        <w:tc>
          <w:tcPr>
            <w:tcW w:type="dxa" w:w="2232"/>
          </w:tcPr>
          <w:p>
            <w:pPr>
              <w:spacing w:after="20" w:line="252" w:lineRule="auto"/>
              <w:jc w:val="center"/>
            </w:pPr>
            <w:r/>
            <w:r>
              <w:rPr>
                <w:rFonts w:ascii="Times New Roman" w:hAnsi="Times New Roman"/>
                <w:sz w:val="15"/>
              </w:rPr>
              <w:t>2019-01-02 – 2021-12-31</w:t>
            </w:r>
          </w:p>
        </w:tc>
        <w:tc>
          <w:tcPr>
            <w:tcW w:type="dxa" w:w="648"/>
          </w:tcPr>
          <w:p>
            <w:pPr>
              <w:spacing w:after="20" w:line="252" w:lineRule="auto"/>
              <w:jc w:val="center"/>
            </w:pPr>
            <w:r/>
            <w:r>
              <w:rPr>
                <w:rFonts w:ascii="Times New Roman" w:hAnsi="Times New Roman"/>
                <w:sz w:val="15"/>
              </w:rPr>
              <w:t>757</w:t>
            </w:r>
          </w:p>
        </w:tc>
        <w:tc>
          <w:tcPr>
            <w:tcW w:type="dxa" w:w="1152"/>
          </w:tcPr>
          <w:p>
            <w:pPr>
              <w:spacing w:after="20" w:line="252" w:lineRule="auto"/>
              <w:jc w:val="center"/>
            </w:pPr>
            <w:r/>
            <w:r>
              <w:rPr>
                <w:rFonts w:ascii="Times New Roman" w:hAnsi="Times New Roman"/>
                <w:sz w:val="15"/>
              </w:rPr>
              <w:t>25.9%</w:t>
            </w:r>
          </w:p>
        </w:tc>
        <w:tc>
          <w:tcPr>
            <w:tcW w:type="dxa" w:w="1296"/>
          </w:tcPr>
          <w:p>
            <w:pPr>
              <w:spacing w:after="20" w:line="252" w:lineRule="auto"/>
              <w:jc w:val="center"/>
            </w:pPr>
            <w:r/>
            <w:r>
              <w:rPr>
                <w:rFonts w:ascii="Times New Roman" w:hAnsi="Times New Roman"/>
                <w:sz w:val="15"/>
              </w:rPr>
              <w:t>21.9%</w:t>
            </w:r>
          </w:p>
        </w:tc>
        <w:tc>
          <w:tcPr>
            <w:tcW w:type="dxa" w:w="1224"/>
          </w:tcPr>
          <w:p>
            <w:pPr>
              <w:spacing w:after="20" w:line="252" w:lineRule="auto"/>
              <w:jc w:val="center"/>
            </w:pPr>
            <w:r/>
            <w:r>
              <w:rPr>
                <w:rFonts w:ascii="Times New Roman" w:hAnsi="Times New Roman"/>
                <w:sz w:val="15"/>
              </w:rPr>
              <w:t>-33.7%</w:t>
            </w:r>
          </w:p>
        </w:tc>
      </w:tr>
      <w:tr>
        <w:tc>
          <w:tcPr>
            <w:tcW w:type="dxa" w:w="1656"/>
          </w:tcPr>
          <w:p>
            <w:pPr>
              <w:spacing w:after="20" w:line="252" w:lineRule="auto"/>
              <w:jc w:val="left"/>
            </w:pPr>
            <w:r/>
            <w:r>
              <w:rPr>
                <w:rFonts w:ascii="Times New Roman" w:hAnsi="Times New Roman"/>
                <w:sz w:val="15"/>
              </w:rPr>
              <w:t>COVID-19</w:t>
            </w:r>
          </w:p>
        </w:tc>
        <w:tc>
          <w:tcPr>
            <w:tcW w:type="dxa" w:w="936"/>
          </w:tcPr>
          <w:p>
            <w:pPr>
              <w:spacing w:after="20" w:line="252" w:lineRule="auto"/>
              <w:jc w:val="left"/>
            </w:pPr>
            <w:r/>
            <w:r>
              <w:rPr>
                <w:rFonts w:ascii="Times New Roman" w:hAnsi="Times New Roman"/>
                <w:sz w:val="15"/>
              </w:rPr>
              <w:t>QQQ</w:t>
            </w:r>
          </w:p>
        </w:tc>
        <w:tc>
          <w:tcPr>
            <w:tcW w:type="dxa" w:w="2232"/>
          </w:tcPr>
          <w:p>
            <w:pPr>
              <w:spacing w:after="20" w:line="252" w:lineRule="auto"/>
              <w:jc w:val="center"/>
            </w:pPr>
            <w:r/>
            <w:r>
              <w:rPr>
                <w:rFonts w:ascii="Times New Roman" w:hAnsi="Times New Roman"/>
                <w:sz w:val="15"/>
              </w:rPr>
              <w:t>2019-01-02 – 2021-12-31</w:t>
            </w:r>
          </w:p>
        </w:tc>
        <w:tc>
          <w:tcPr>
            <w:tcW w:type="dxa" w:w="648"/>
          </w:tcPr>
          <w:p>
            <w:pPr>
              <w:spacing w:after="20" w:line="252" w:lineRule="auto"/>
              <w:jc w:val="center"/>
            </w:pPr>
            <w:r/>
            <w:r>
              <w:rPr>
                <w:rFonts w:ascii="Times New Roman" w:hAnsi="Times New Roman"/>
                <w:sz w:val="15"/>
              </w:rPr>
              <w:t>757</w:t>
            </w:r>
          </w:p>
        </w:tc>
        <w:tc>
          <w:tcPr>
            <w:tcW w:type="dxa" w:w="1152"/>
          </w:tcPr>
          <w:p>
            <w:pPr>
              <w:spacing w:after="20" w:line="252" w:lineRule="auto"/>
              <w:jc w:val="center"/>
            </w:pPr>
            <w:r/>
            <w:r>
              <w:rPr>
                <w:rFonts w:ascii="Times New Roman" w:hAnsi="Times New Roman"/>
                <w:sz w:val="15"/>
              </w:rPr>
              <w:t>37.8%</w:t>
            </w:r>
          </w:p>
        </w:tc>
        <w:tc>
          <w:tcPr>
            <w:tcW w:type="dxa" w:w="1296"/>
          </w:tcPr>
          <w:p>
            <w:pPr>
              <w:spacing w:after="20" w:line="252" w:lineRule="auto"/>
              <w:jc w:val="center"/>
            </w:pPr>
            <w:r/>
            <w:r>
              <w:rPr>
                <w:rFonts w:ascii="Times New Roman" w:hAnsi="Times New Roman"/>
                <w:sz w:val="15"/>
              </w:rPr>
              <w:t>24.9%</w:t>
            </w:r>
          </w:p>
        </w:tc>
        <w:tc>
          <w:tcPr>
            <w:tcW w:type="dxa" w:w="1224"/>
          </w:tcPr>
          <w:p>
            <w:pPr>
              <w:spacing w:after="20" w:line="252" w:lineRule="auto"/>
              <w:jc w:val="center"/>
            </w:pPr>
            <w:r/>
            <w:r>
              <w:rPr>
                <w:rFonts w:ascii="Times New Roman" w:hAnsi="Times New Roman"/>
                <w:sz w:val="15"/>
              </w:rPr>
              <w:t>-28.6%</w:t>
            </w:r>
          </w:p>
        </w:tc>
      </w:tr>
      <w:tr>
        <w:tc>
          <w:tcPr>
            <w:tcW w:type="dxa" w:w="1656"/>
          </w:tcPr>
          <w:p>
            <w:pPr>
              <w:spacing w:after="20" w:line="252" w:lineRule="auto"/>
              <w:jc w:val="left"/>
            </w:pPr>
            <w:r/>
            <w:r>
              <w:rPr>
                <w:rFonts w:ascii="Times New Roman" w:hAnsi="Times New Roman"/>
                <w:sz w:val="15"/>
              </w:rPr>
              <w:t>COVID-19</w:t>
            </w:r>
          </w:p>
        </w:tc>
        <w:tc>
          <w:tcPr>
            <w:tcW w:type="dxa" w:w="936"/>
          </w:tcPr>
          <w:p>
            <w:pPr>
              <w:spacing w:after="20" w:line="252" w:lineRule="auto"/>
              <w:jc w:val="left"/>
            </w:pPr>
            <w:r/>
            <w:r>
              <w:rPr>
                <w:rFonts w:ascii="Times New Roman" w:hAnsi="Times New Roman"/>
                <w:sz w:val="15"/>
              </w:rPr>
              <w:t>GLD</w:t>
            </w:r>
          </w:p>
        </w:tc>
        <w:tc>
          <w:tcPr>
            <w:tcW w:type="dxa" w:w="2232"/>
          </w:tcPr>
          <w:p>
            <w:pPr>
              <w:spacing w:after="20" w:line="252" w:lineRule="auto"/>
              <w:jc w:val="center"/>
            </w:pPr>
            <w:r/>
            <w:r>
              <w:rPr>
                <w:rFonts w:ascii="Times New Roman" w:hAnsi="Times New Roman"/>
                <w:sz w:val="15"/>
              </w:rPr>
              <w:t>2019-01-02 – 2021-12-31</w:t>
            </w:r>
          </w:p>
        </w:tc>
        <w:tc>
          <w:tcPr>
            <w:tcW w:type="dxa" w:w="648"/>
          </w:tcPr>
          <w:p>
            <w:pPr>
              <w:spacing w:after="20" w:line="252" w:lineRule="auto"/>
              <w:jc w:val="center"/>
            </w:pPr>
            <w:r/>
            <w:r>
              <w:rPr>
                <w:rFonts w:ascii="Times New Roman" w:hAnsi="Times New Roman"/>
                <w:sz w:val="15"/>
              </w:rPr>
              <w:t>757</w:t>
            </w:r>
          </w:p>
        </w:tc>
        <w:tc>
          <w:tcPr>
            <w:tcW w:type="dxa" w:w="1152"/>
          </w:tcPr>
          <w:p>
            <w:pPr>
              <w:spacing w:after="20" w:line="252" w:lineRule="auto"/>
              <w:jc w:val="center"/>
            </w:pPr>
            <w:r/>
            <w:r>
              <w:rPr>
                <w:rFonts w:ascii="Times New Roman" w:hAnsi="Times New Roman"/>
                <w:sz w:val="15"/>
              </w:rPr>
              <w:t>12.1%</w:t>
            </w:r>
          </w:p>
        </w:tc>
        <w:tc>
          <w:tcPr>
            <w:tcW w:type="dxa" w:w="1296"/>
          </w:tcPr>
          <w:p>
            <w:pPr>
              <w:spacing w:after="20" w:line="252" w:lineRule="auto"/>
              <w:jc w:val="center"/>
            </w:pPr>
            <w:r/>
            <w:r>
              <w:rPr>
                <w:rFonts w:ascii="Times New Roman" w:hAnsi="Times New Roman"/>
                <w:sz w:val="15"/>
              </w:rPr>
              <w:t>15.3%</w:t>
            </w:r>
          </w:p>
        </w:tc>
        <w:tc>
          <w:tcPr>
            <w:tcW w:type="dxa" w:w="1224"/>
          </w:tcPr>
          <w:p>
            <w:pPr>
              <w:spacing w:after="20" w:line="252" w:lineRule="auto"/>
              <w:jc w:val="center"/>
            </w:pPr>
            <w:r/>
            <w:r>
              <w:rPr>
                <w:rFonts w:ascii="Times New Roman" w:hAnsi="Times New Roman"/>
                <w:sz w:val="15"/>
              </w:rPr>
              <w:t>-18.8%</w:t>
            </w:r>
          </w:p>
        </w:tc>
      </w:tr>
      <w:tr>
        <w:tc>
          <w:tcPr>
            <w:tcW w:type="dxa" w:w="1656"/>
            <w:tcBorders>
              <w:bottom w:val="single" w:sz="10" w:color="000000"/>
            </w:tcBorders>
          </w:tcPr>
          <w:p>
            <w:pPr>
              <w:spacing w:after="20" w:line="252" w:lineRule="auto"/>
              <w:jc w:val="left"/>
            </w:pPr>
            <w:r/>
            <w:r>
              <w:rPr>
                <w:rFonts w:ascii="Times New Roman" w:hAnsi="Times New Roman"/>
                <w:sz w:val="15"/>
              </w:rPr>
              <w:t>COVID-19</w:t>
            </w:r>
          </w:p>
        </w:tc>
        <w:tc>
          <w:tcPr>
            <w:tcW w:type="dxa" w:w="936"/>
            <w:tcBorders>
              <w:bottom w:val="single" w:sz="10" w:color="000000"/>
            </w:tcBorders>
          </w:tcPr>
          <w:p>
            <w:pPr>
              <w:spacing w:after="20" w:line="252" w:lineRule="auto"/>
              <w:jc w:val="left"/>
            </w:pPr>
            <w:r/>
            <w:r>
              <w:rPr>
                <w:rFonts w:ascii="Times New Roman" w:hAnsi="Times New Roman"/>
                <w:sz w:val="15"/>
              </w:rPr>
              <w:t>TLT</w:t>
            </w:r>
          </w:p>
        </w:tc>
        <w:tc>
          <w:tcPr>
            <w:tcW w:type="dxa" w:w="2232"/>
            <w:tcBorders>
              <w:bottom w:val="single" w:sz="10" w:color="000000"/>
            </w:tcBorders>
          </w:tcPr>
          <w:p>
            <w:pPr>
              <w:spacing w:after="20" w:line="252" w:lineRule="auto"/>
              <w:jc w:val="center"/>
            </w:pPr>
            <w:r/>
            <w:r>
              <w:rPr>
                <w:rFonts w:ascii="Times New Roman" w:hAnsi="Times New Roman"/>
                <w:sz w:val="15"/>
              </w:rPr>
              <w:t>2019-01-02 – 2021-12-31</w:t>
            </w:r>
          </w:p>
        </w:tc>
        <w:tc>
          <w:tcPr>
            <w:tcW w:type="dxa" w:w="648"/>
            <w:tcBorders>
              <w:bottom w:val="single" w:sz="10" w:color="000000"/>
            </w:tcBorders>
          </w:tcPr>
          <w:p>
            <w:pPr>
              <w:spacing w:after="20" w:line="252" w:lineRule="auto"/>
              <w:jc w:val="center"/>
            </w:pPr>
            <w:r/>
            <w:r>
              <w:rPr>
                <w:rFonts w:ascii="Times New Roman" w:hAnsi="Times New Roman"/>
                <w:sz w:val="15"/>
              </w:rPr>
              <w:t>757</w:t>
            </w:r>
          </w:p>
        </w:tc>
        <w:tc>
          <w:tcPr>
            <w:tcW w:type="dxa" w:w="1152"/>
            <w:tcBorders>
              <w:bottom w:val="single" w:sz="10" w:color="000000"/>
            </w:tcBorders>
          </w:tcPr>
          <w:p>
            <w:pPr>
              <w:spacing w:after="20" w:line="252" w:lineRule="auto"/>
              <w:jc w:val="center"/>
            </w:pPr>
            <w:r/>
            <w:r>
              <w:rPr>
                <w:rFonts w:ascii="Times New Roman" w:hAnsi="Times New Roman"/>
                <w:sz w:val="15"/>
              </w:rPr>
              <w:t>8.6%</w:t>
            </w:r>
          </w:p>
        </w:tc>
        <w:tc>
          <w:tcPr>
            <w:tcW w:type="dxa" w:w="1296"/>
            <w:tcBorders>
              <w:bottom w:val="single" w:sz="10" w:color="000000"/>
            </w:tcBorders>
          </w:tcPr>
          <w:p>
            <w:pPr>
              <w:spacing w:after="20" w:line="252" w:lineRule="auto"/>
              <w:jc w:val="center"/>
            </w:pPr>
            <w:r/>
            <w:r>
              <w:rPr>
                <w:rFonts w:ascii="Times New Roman" w:hAnsi="Times New Roman"/>
                <w:sz w:val="15"/>
              </w:rPr>
              <w:t>16.3%</w:t>
            </w:r>
          </w:p>
        </w:tc>
        <w:tc>
          <w:tcPr>
            <w:tcW w:type="dxa" w:w="1224"/>
            <w:tcBorders>
              <w:bottom w:val="single" w:sz="10" w:color="000000"/>
            </w:tcBorders>
          </w:tcPr>
          <w:p>
            <w:pPr>
              <w:spacing w:after="20" w:line="252" w:lineRule="auto"/>
              <w:jc w:val="center"/>
            </w:pPr>
            <w:r/>
            <w:r>
              <w:rPr>
                <w:rFonts w:ascii="Times New Roman" w:hAnsi="Times New Roman"/>
                <w:sz w:val="15"/>
              </w:rPr>
              <w:t>-21.3%</w:t>
            </w:r>
          </w:p>
        </w:tc>
      </w:tr>
    </w:tbl>
    <w:p>
      <w:pPr>
        <w:spacing w:after="80"/>
      </w:pPr>
    </w:p>
    <w:p>
      <w:pPr>
        <w:keepNext w:val="0"/>
        <w:spacing w:after="120"/>
        <w:jc w:val="both"/>
      </w:pPr>
      <w:r>
        <w:rPr>
          <w:rFonts w:ascii="Times New Roman" w:hAnsi="Times New Roman"/>
        </w:rPr>
        <w:t xml:space="preserve">For analogue matching, a reference corpus of </w:t>
      </w:r>
      <w:r>
        <w:rPr>
          <w:rFonts w:ascii="Times New Roman" w:hAnsi="Times New Roman"/>
          <w:b/>
        </w:rPr>
        <w:t>965 labelled windows</w:t>
      </w:r>
      <w:r>
        <w:rPr>
          <w:rFonts w:ascii="Times New Roman" w:hAnsi="Times New Roman"/>
        </w:rPr>
        <w:t xml:space="preserve"> is built from the three case studies (dot-com via QQQ, GFC and COVID-19 via SPY) plus four calm reference periods (SPY 2003–2006, 2012–2015, 2016–2019; QQQ 2012–2015): 679 normal, 105 dot-com, 101 GFC and 80 COVID-19 windows (Section 3.3.3).</w:t>
      </w:r>
    </w:p>
    <w:p>
      <w:pPr>
        <w:pStyle w:val="Heading2"/>
      </w:pPr>
      <w:r>
        <w:t>3.2 Preprocessing</w:t>
      </w:r>
    </w:p>
    <w:p>
      <w:pPr>
        <w:keepNext w:val="0"/>
        <w:spacing w:after="120"/>
        <w:jc w:val="both"/>
      </w:pPr>
      <w:r>
        <w:rPr>
          <w:rFonts w:ascii="Times New Roman" w:hAnsi="Times New Roman"/>
        </w:rPr>
        <w:t>Prices are aligned on shared trading dates and daily simple returns are formed for the backtests. For regime detection, each day is described by the log return, a 20-day annualised rolling volatility and the drawdown from a 60-day rolling peak:</w:t>
      </w:r>
    </w:p>
    <w:tbl>
      <w:tblPr>
        <w:tblW w:type="auto" w:w="0"/>
        <w:jc w:val="center"/>
        <w:tblLook w:firstColumn="1" w:firstRow="1" w:lastColumn="0" w:lastRow="0" w:noHBand="0" w:noVBand="1" w:val="04A0"/>
      </w:tblPr>
      <w:tblGrid>
        <w:gridCol w:w="3010"/>
        <w:gridCol w:w="3010"/>
        <w:gridCol w:w="3010"/>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4145280" cy="415636"/>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45280" cy="415636"/>
                          </a:xfrm>
                          <a:prstGeom prst="rect"/>
                        </pic:spPr>
                      </pic:pic>
                    </a:graphicData>
                  </a:graphic>
                </wp:inline>
              </w:drawing>
            </w:r>
          </w:p>
        </w:tc>
        <w:tc>
          <w:tcPr>
            <w:tcW w:type="dxa" w:w="720"/>
            <w:vAlign w:val="center"/>
          </w:tcPr>
          <w:p>
            <w:pPr>
              <w:jc w:val="right"/>
            </w:pPr>
            <w:r>
              <w:rPr>
                <w:rFonts w:ascii="Times New Roman" w:hAnsi="Times New Roman"/>
              </w:rPr>
              <w:t>(1)</w:t>
            </w:r>
          </w:p>
        </w:tc>
      </w:tr>
    </w:tbl>
    <w:p>
      <w:pPr>
        <w:spacing w:after="40" w:line="120" w:lineRule="auto"/>
      </w:pPr>
    </w:p>
    <w:p>
      <w:pPr>
        <w:keepNext w:val="0"/>
        <w:spacing w:after="120"/>
        <w:jc w:val="both"/>
      </w:pPr>
      <w:r>
        <w:rPr>
          <w:rFonts w:ascii="Times New Roman" w:hAnsi="Times New Roman"/>
        </w:rPr>
        <w:t xml:space="preserve">The features are standardised before fitting. For analogue matching, a window of </w:t>
      </w:r>
      <w:r>
        <w:rPr>
          <w:rFonts w:ascii="Times New Roman" w:hAnsi="Times New Roman"/>
          <w:i/>
        </w:rPr>
        <w:t>n</w:t>
      </w:r>
      <w:r>
        <w:rPr>
          <w:rFonts w:ascii="Times New Roman" w:hAnsi="Times New Roman"/>
        </w:rPr>
        <w:t xml:space="preserve"> trading days (any </w:t>
      </w:r>
      <w:r>
        <w:rPr>
          <w:rFonts w:ascii="Times New Roman" w:hAnsi="Times New Roman"/>
          <w:i/>
        </w:rPr>
        <w:t>n</w:t>
      </w:r>
      <w:r>
        <w:rPr>
          <w:rFonts w:ascii="Times New Roman" w:hAnsi="Times New Roman"/>
        </w:rPr>
        <w:t xml:space="preserve"> ≥ 20) is converted to three channels measured from the window’s own start (cumulative return, 5-day rolling annualised volatility and running drawdown) and linearly interpolated onto 40 equally spaced points of the normalised time axis, so that a 33-day crash and a 600-day bear market become comparable </w:t>
      </w:r>
      <w:r>
        <w:rPr>
          <w:rFonts w:ascii="Times New Roman" w:hAnsi="Times New Roman"/>
          <w:i/>
        </w:rPr>
        <w:t>shapes</w:t>
      </w:r>
      <w:r>
        <w:rPr>
          <w:rFonts w:ascii="Times New Roman" w:hAnsi="Times New Roman"/>
        </w:rPr>
        <w:t>:</w:t>
      </w:r>
    </w:p>
    <w:tbl>
      <w:tblPr>
        <w:tblW w:type="auto" w:w="0"/>
        <w:jc w:val="center"/>
        <w:tblLook w:firstColumn="1" w:firstRow="1" w:lastColumn="0" w:lastRow="0" w:noHBand="0" w:noVBand="1" w:val="04A0"/>
      </w:tblPr>
      <w:tblGrid>
        <w:gridCol w:w="3010"/>
        <w:gridCol w:w="3010"/>
        <w:gridCol w:w="3010"/>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4438996" cy="401781"/>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438996" cy="401781"/>
                          </a:xfrm>
                          <a:prstGeom prst="rect"/>
                        </pic:spPr>
                      </pic:pic>
                    </a:graphicData>
                  </a:graphic>
                </wp:inline>
              </w:drawing>
            </w:r>
          </w:p>
        </w:tc>
        <w:tc>
          <w:tcPr>
            <w:tcW w:type="dxa" w:w="720"/>
            <w:vAlign w:val="center"/>
          </w:tcPr>
          <w:p>
            <w:pPr>
              <w:jc w:val="right"/>
            </w:pPr>
            <w:r>
              <w:rPr>
                <w:rFonts w:ascii="Times New Roman" w:hAnsi="Times New Roman"/>
              </w:rPr>
              <w:t>(2)</w:t>
            </w:r>
          </w:p>
        </w:tc>
      </w:tr>
    </w:tbl>
    <w:p>
      <w:pPr>
        <w:spacing w:after="40" w:line="120" w:lineRule="auto"/>
      </w:pPr>
    </w:p>
    <w:p>
      <w:pPr>
        <w:keepNext w:val="0"/>
        <w:spacing w:after="120"/>
        <w:jc w:val="both"/>
      </w:pPr>
      <w:r>
        <w:rPr>
          <w:rFonts w:ascii="Times New Roman" w:hAnsi="Times New Roman"/>
        </w:rPr>
        <w:t>where ρ denotes daily returns inside the window. Channels are standardised with corpus-level means and standard deviations before entering the encoder.</w:t>
      </w:r>
    </w:p>
    <w:p>
      <w:pPr>
        <w:pStyle w:val="Heading2"/>
      </w:pPr>
      <w:r>
        <w:t>3.3 Proposed method</w:t>
      </w:r>
    </w:p>
    <w:p>
      <w:pPr>
        <w:pStyle w:val="Heading3"/>
      </w:pPr>
      <w:r>
        <w:t>3.3.1 System architecture</w:t>
      </w:r>
    </w:p>
    <w:p>
      <w:pPr>
        <w:keepNext w:val="0"/>
        <w:spacing w:after="120"/>
        <w:jc w:val="both"/>
      </w:pPr>
      <w:r>
        <w:rPr>
          <w:rFonts w:ascii="Times New Roman" w:hAnsi="Times New Roman"/>
        </w:rPr>
        <w:t>The platform has four layers (Fig. 1): a React 19 / Vite / Recharts dashboard; a FastAPI service layer exposing eight REST endpoints; an analytics layer containing the HMM, the pattern matcher, the adaptive allocator and the backtest engine; and a data layer with the Yahoo Finance client, an on-disk cache and the labelled synthetic fallback. Appendix A shows the dashboard. The fitted matcher is built once per server process (about 25 s) and cached; subsequent comparisons take about 0.1 s.</w:t>
      </w:r>
    </w:p>
    <w:p>
      <w:pPr>
        <w:keepNext/>
        <w:spacing w:after="60"/>
        <w:jc w:val="center"/>
      </w:pPr>
      <w:r>
        <w:drawing>
          <wp:inline xmlns:a="http://schemas.openxmlformats.org/drawingml/2006/main" xmlns:pic="http://schemas.openxmlformats.org/drawingml/2006/picture">
            <wp:extent cx="5120640" cy="4556794"/>
            <wp:docPr id="3" name="Picture 3"/>
            <wp:cNvGraphicFramePr>
              <a:graphicFrameLocks noChangeAspect="1"/>
            </wp:cNvGraphicFramePr>
            <a:graphic>
              <a:graphicData uri="http://schemas.openxmlformats.org/drawingml/2006/picture">
                <pic:pic>
                  <pic:nvPicPr>
                    <pic:cNvPr id="0" name="fig_architecture.png"/>
                    <pic:cNvPicPr/>
                  </pic:nvPicPr>
                  <pic:blipFill>
                    <a:blip r:embed="rId12"/>
                    <a:stretch>
                      <a:fillRect/>
                    </a:stretch>
                  </pic:blipFill>
                  <pic:spPr>
                    <a:xfrm>
                      <a:off x="0" y="0"/>
                      <a:ext cx="5120640" cy="4556794"/>
                    </a:xfrm>
                    <a:prstGeom prst="rect"/>
                  </pic:spPr>
                </pic:pic>
              </a:graphicData>
            </a:graphic>
          </wp:inline>
        </w:drawing>
      </w:r>
    </w:p>
    <w:p>
      <w:pPr>
        <w:spacing w:after="200"/>
        <w:jc w:val="both"/>
      </w:pPr>
      <w:r>
        <w:rPr>
          <w:rFonts w:ascii="Times New Roman" w:hAnsi="Times New Roman"/>
          <w:b/>
          <w:sz w:val="19"/>
        </w:rPr>
        <w:t xml:space="preserve">Fig. 1. </w:t>
      </w:r>
      <w:r>
        <w:rPr>
          <w:rFonts w:ascii="Times New Roman" w:hAnsi="Times New Roman"/>
          <w:sz w:val="19"/>
        </w:rPr>
        <w:t>Layered architecture of the platform: presentation (React), service (FastAPI), analytics (HMM, pattern matcher, adaptive allocator, backtest engine) and data layers.</w:t>
      </w:r>
    </w:p>
    <w:p>
      <w:pPr>
        <w:pStyle w:val="Heading3"/>
      </w:pPr>
      <w:r>
        <w:t>3.3.2 Regime detection (HMM)</w:t>
      </w:r>
    </w:p>
    <w:p>
      <w:pPr>
        <w:keepNext w:val="0"/>
        <w:spacing w:after="120"/>
        <w:jc w:val="both"/>
      </w:pPr>
      <w:r>
        <w:rPr>
          <w:rFonts w:ascii="Times New Roman" w:hAnsi="Times New Roman"/>
        </w:rPr>
        <w:t>A three-state diagonal-covariance Gaussian HMM [11] is fitted by expectation–maximisation (300 iterations, fixed seed) on the standardised features:</w:t>
      </w:r>
    </w:p>
    <w:tbl>
      <w:tblPr>
        <w:tblW w:type="auto" w:w="0"/>
        <w:jc w:val="center"/>
        <w:tblLook w:firstColumn="1" w:firstRow="1" w:lastColumn="0" w:lastRow="0" w:noHBand="0" w:noVBand="1" w:val="04A0"/>
      </w:tblPr>
      <w:tblGrid>
        <w:gridCol w:w="3010"/>
        <w:gridCol w:w="3010"/>
        <w:gridCol w:w="3010"/>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3483032" cy="290945"/>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483032" cy="290945"/>
                          </a:xfrm>
                          <a:prstGeom prst="rect"/>
                        </pic:spPr>
                      </pic:pic>
                    </a:graphicData>
                  </a:graphic>
                </wp:inline>
              </w:drawing>
            </w:r>
          </w:p>
        </w:tc>
        <w:tc>
          <w:tcPr>
            <w:tcW w:type="dxa" w:w="720"/>
            <w:vAlign w:val="center"/>
          </w:tcPr>
          <w:p>
            <w:pPr>
              <w:jc w:val="right"/>
            </w:pPr>
            <w:r>
              <w:rPr>
                <w:rFonts w:ascii="Times New Roman" w:hAnsi="Times New Roman"/>
              </w:rPr>
              <w:t>(3)</w:t>
            </w:r>
          </w:p>
        </w:tc>
      </w:tr>
    </w:tbl>
    <w:p>
      <w:pPr>
        <w:spacing w:after="40" w:line="120" w:lineRule="auto"/>
      </w:pPr>
    </w:p>
    <w:p>
      <w:pPr>
        <w:keepNext w:val="0"/>
        <w:spacing w:after="120"/>
        <w:jc w:val="both"/>
      </w:pPr>
      <w:r>
        <w:rPr>
          <w:rFonts w:ascii="Times New Roman" w:hAnsi="Times New Roman"/>
        </w:rPr>
        <w:t xml:space="preserve">Because state indices are arbitrary, states are relabelled by their empirical statistics: the state with the highest mean volatility is </w:t>
      </w:r>
      <w:r>
        <w:rPr>
          <w:rFonts w:ascii="Times New Roman" w:hAnsi="Times New Roman"/>
          <w:i/>
        </w:rPr>
        <w:t>Crisis</w:t>
      </w:r>
      <w:r>
        <w:rPr>
          <w:rFonts w:ascii="Times New Roman" w:hAnsi="Times New Roman"/>
        </w:rPr>
        <w:t xml:space="preserve">; of the remaining two, the one with the higher mean return is </w:t>
      </w:r>
      <w:r>
        <w:rPr>
          <w:rFonts w:ascii="Times New Roman" w:hAnsi="Times New Roman"/>
          <w:i/>
        </w:rPr>
        <w:t>Bull</w:t>
      </w:r>
      <w:r>
        <w:rPr>
          <w:rFonts w:ascii="Times New Roman" w:hAnsi="Times New Roman"/>
        </w:rPr>
        <w:t xml:space="preserve"> and the other </w:t>
      </w:r>
      <w:r>
        <w:rPr>
          <w:rFonts w:ascii="Times New Roman" w:hAnsi="Times New Roman"/>
          <w:i/>
        </w:rPr>
        <w:t>Bear</w:t>
      </w:r>
      <w:r>
        <w:rPr>
          <w:rFonts w:ascii="Times New Roman" w:hAnsi="Times New Roman"/>
        </w:rPr>
        <w:t>. The model is never given crash dates. Its posterior probabilities are used as part of the allocation policy’s state.</w:t>
      </w:r>
    </w:p>
    <w:p>
      <w:pPr>
        <w:pStyle w:val="Heading3"/>
      </w:pPr>
      <w:r>
        <w:t>3.3.3 Historical-pattern comparison</w:t>
      </w:r>
    </w:p>
    <w:p>
      <w:pPr>
        <w:keepNext w:val="0"/>
        <w:spacing w:after="120"/>
        <w:jc w:val="both"/>
      </w:pPr>
      <w:r>
        <w:rPr>
          <w:rFonts w:ascii="Times New Roman" w:hAnsi="Times New Roman"/>
          <w:b/>
        </w:rPr>
        <w:t>Encoder.</w:t>
      </w:r>
      <w:r>
        <w:rPr>
          <w:rFonts w:ascii="Times New Roman" w:hAnsi="Times New Roman"/>
        </w:rPr>
        <w:t xml:space="preserve"> A small Transformer encoder [16] maps the 40 × 3 shape to a 16-dimensional embedding (Fig. 2): a linear projection to </w:t>
      </w:r>
      <w:r>
        <w:rPr>
          <w:rFonts w:ascii="Times New Roman" w:hAnsi="Times New Roman"/>
          <w:i/>
        </w:rPr>
        <w:t>d</w:t>
      </w:r>
      <w:r>
        <w:rPr>
          <w:rFonts w:ascii="Times New Roman" w:hAnsi="Times New Roman"/>
          <w:vertAlign w:val="subscript"/>
        </w:rPr>
        <w:t>model</w:t>
      </w:r>
      <w:r>
        <w:rPr>
          <w:rFonts w:ascii="Times New Roman" w:hAnsi="Times New Roman"/>
        </w:rPr>
        <w:t xml:space="preserve"> = 32 with a learned positional embedding, two encoder layers with four attention heads, a 64-unit feed-forward block with GELU [23] and layer normalisation [24], mean pooling over the 40 steps and a linear map to 16 dimensions. The encoder is trained self-supervised as an autoencoder with a symmetric decoder (used only in training), minimising</w:t>
      </w:r>
    </w:p>
    <w:tbl>
      <w:tblPr>
        <w:tblW w:type="auto" w:w="0"/>
        <w:jc w:val="center"/>
        <w:tblLook w:firstColumn="1" w:firstRow="1" w:lastColumn="0" w:lastRow="0" w:noHBand="0" w:noVBand="1" w:val="04A0"/>
      </w:tblPr>
      <w:tblGrid>
        <w:gridCol w:w="3010"/>
        <w:gridCol w:w="3010"/>
        <w:gridCol w:w="3010"/>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917469" cy="473825"/>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17469" cy="473825"/>
                          </a:xfrm>
                          <a:prstGeom prst="rect"/>
                        </pic:spPr>
                      </pic:pic>
                    </a:graphicData>
                  </a:graphic>
                </wp:inline>
              </w:drawing>
            </w:r>
          </w:p>
        </w:tc>
        <w:tc>
          <w:tcPr>
            <w:tcW w:type="dxa" w:w="720"/>
            <w:vAlign w:val="center"/>
          </w:tcPr>
          <w:p>
            <w:pPr>
              <w:jc w:val="right"/>
            </w:pPr>
            <w:r>
              <w:rPr>
                <w:rFonts w:ascii="Times New Roman" w:hAnsi="Times New Roman"/>
              </w:rPr>
              <w:t>(4)</w:t>
            </w:r>
          </w:p>
        </w:tc>
      </w:tr>
    </w:tbl>
    <w:p>
      <w:pPr>
        <w:spacing w:after="40" w:line="120" w:lineRule="auto"/>
      </w:pPr>
    </w:p>
    <w:p>
      <w:pPr>
        <w:keepNext w:val="0"/>
        <w:spacing w:after="120"/>
        <w:jc w:val="both"/>
      </w:pPr>
      <w:r>
        <w:rPr>
          <w:rFonts w:ascii="Times New Roman" w:hAnsi="Times New Roman"/>
        </w:rPr>
        <w:t>with Adam [25] (learning rate 2·10</w:t>
      </w:r>
      <w:r>
        <w:rPr>
          <w:rFonts w:ascii="Times New Roman" w:hAnsi="Times New Roman"/>
          <w:vertAlign w:val="superscript"/>
        </w:rPr>
        <w:t>−3</w:t>
      </w:r>
      <w:r>
        <w:rPr>
          <w:rFonts w:ascii="Times New Roman" w:hAnsi="Times New Roman"/>
        </w:rPr>
        <w:t>, 120 full-batch epochs) in PyTorch [26]. Self-attention is the scaled dot-product of Vaswani et al.:</w:t>
      </w:r>
    </w:p>
    <w:tbl>
      <w:tblPr>
        <w:tblW w:type="auto" w:w="0"/>
        <w:jc w:val="center"/>
        <w:tblLook w:firstColumn="1" w:firstRow="1" w:lastColumn="0" w:lastRow="0" w:noHBand="0" w:noVBand="1" w:val="04A0"/>
      </w:tblPr>
      <w:tblGrid>
        <w:gridCol w:w="3010"/>
        <w:gridCol w:w="3010"/>
        <w:gridCol w:w="3010"/>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2227810" cy="39624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227810" cy="396240"/>
                          </a:xfrm>
                          <a:prstGeom prst="rect"/>
                        </pic:spPr>
                      </pic:pic>
                    </a:graphicData>
                  </a:graphic>
                </wp:inline>
              </w:drawing>
            </w:r>
          </w:p>
        </w:tc>
        <w:tc>
          <w:tcPr>
            <w:tcW w:type="dxa" w:w="720"/>
            <w:vAlign w:val="center"/>
          </w:tcPr>
          <w:p>
            <w:pPr>
              <w:jc w:val="right"/>
            </w:pPr>
            <w:r>
              <w:rPr>
                <w:rFonts w:ascii="Times New Roman" w:hAnsi="Times New Roman"/>
              </w:rPr>
              <w:t>(5)</w:t>
            </w:r>
          </w:p>
        </w:tc>
      </w:tr>
    </w:tbl>
    <w:p>
      <w:pPr>
        <w:spacing w:after="40" w:line="120" w:lineRule="auto"/>
      </w:pPr>
    </w:p>
    <w:p>
      <w:pPr>
        <w:keepNext/>
        <w:spacing w:after="60"/>
        <w:jc w:val="center"/>
      </w:pPr>
      <w:r>
        <w:drawing>
          <wp:inline xmlns:a="http://schemas.openxmlformats.org/drawingml/2006/main" xmlns:pic="http://schemas.openxmlformats.org/drawingml/2006/picture">
            <wp:extent cx="5669280" cy="2224579"/>
            <wp:docPr id="7" name="Picture 7"/>
            <wp:cNvGraphicFramePr>
              <a:graphicFrameLocks noChangeAspect="1"/>
            </wp:cNvGraphicFramePr>
            <a:graphic>
              <a:graphicData uri="http://schemas.openxmlformats.org/drawingml/2006/picture">
                <pic:pic>
                  <pic:nvPicPr>
                    <pic:cNvPr id="0" name="fig_transformer.png"/>
                    <pic:cNvPicPr/>
                  </pic:nvPicPr>
                  <pic:blipFill>
                    <a:blip r:embed="rId16"/>
                    <a:stretch>
                      <a:fillRect/>
                    </a:stretch>
                  </pic:blipFill>
                  <pic:spPr>
                    <a:xfrm>
                      <a:off x="0" y="0"/>
                      <a:ext cx="5669280" cy="2224579"/>
                    </a:xfrm>
                    <a:prstGeom prst="rect"/>
                  </pic:spPr>
                </pic:pic>
              </a:graphicData>
            </a:graphic>
          </wp:inline>
        </w:drawing>
      </w:r>
    </w:p>
    <w:p>
      <w:pPr>
        <w:spacing w:after="200"/>
        <w:jc w:val="both"/>
      </w:pPr>
      <w:r>
        <w:rPr>
          <w:rFonts w:ascii="Times New Roman" w:hAnsi="Times New Roman"/>
          <w:b/>
          <w:sz w:val="19"/>
        </w:rPr>
        <w:t xml:space="preserve">Fig. 2. </w:t>
      </w:r>
      <w:r>
        <w:rPr>
          <w:rFonts w:ascii="Times New Roman" w:hAnsi="Times New Roman"/>
          <w:sz w:val="19"/>
        </w:rPr>
        <w:t>Transformer shape encoder. A 40 × 3 resampled window is encoded to a 16-dimensional embedding; the decoder exists only to provide the self-supervised reconstruction loss.</w:t>
      </w:r>
    </w:p>
    <w:p>
      <w:pPr>
        <w:keepNext w:val="0"/>
        <w:spacing w:after="120"/>
        <w:jc w:val="both"/>
      </w:pPr>
      <w:r>
        <w:rPr>
          <w:rFonts w:ascii="Times New Roman" w:hAnsi="Times New Roman"/>
          <w:b/>
        </w:rPr>
        <w:t>Reference corpus.</w:t>
      </w:r>
      <w:r>
        <w:rPr>
          <w:rFonts w:ascii="Times New Roman" w:hAnsi="Times New Roman"/>
        </w:rPr>
        <w:t xml:space="preserve"> Overlapping windows are cut from each source series at 21 lengths between 10 and 600 trading days with a stride of max(3, length/5) days, rounded down. A window receives an event label if the crisis fills at least 50% of the </w:t>
      </w:r>
      <w:r>
        <w:rPr>
          <w:rFonts w:ascii="Times New Roman" w:hAnsi="Times New Roman"/>
          <w:i/>
        </w:rPr>
        <w:t>window</w:t>
      </w:r>
      <w:r>
        <w:rPr>
          <w:rFonts w:ascii="Times New Roman" w:hAnsi="Times New Roman"/>
        </w:rPr>
        <w:t xml:space="preserve">, or if the window contains at least 80% of the </w:t>
      </w:r>
      <w:r>
        <w:rPr>
          <w:rFonts w:ascii="Times New Roman" w:hAnsi="Times New Roman"/>
          <w:i/>
        </w:rPr>
        <w:t>crisis</w:t>
      </w:r>
      <w:r>
        <w:rPr>
          <w:rFonts w:ascii="Times New Roman" w:hAnsi="Times New Roman"/>
        </w:rPr>
        <w:t xml:space="preserve"> while being at most four times its length (so that the short COVID-19 crash is represented by windows longer than 68 days); windows with 5–50% overlap are dropped as ambiguous and the rest are labelled normal. Event classes are capped at 120 windows and the normal class at 2.5 times the event total, with capping stratified by window length so that sparse, distinctive long windows are not crowded out by many short ones.</w:t>
      </w:r>
    </w:p>
    <w:p>
      <w:pPr>
        <w:keepNext w:val="0"/>
        <w:spacing w:after="120"/>
        <w:jc w:val="both"/>
      </w:pPr>
      <w:r>
        <w:rPr>
          <w:rFonts w:ascii="Times New Roman" w:hAnsi="Times New Roman"/>
          <w:b/>
        </w:rPr>
        <w:t>Corpus structure.</w:t>
      </w:r>
      <w:r>
        <w:rPr>
          <w:rFonts w:ascii="Times New Roman" w:hAnsi="Times New Roman"/>
        </w:rPr>
        <w:t xml:space="preserve"> HDBSCAN is run on the embeddings over a grid of nine (min_cluster_size, min_samples) settings; the setting is chosen to maximise a score that rewards each event having its own cluster in which it forms a ≥ 60% majority, high size-weighted purity and low noise, and penalises fragmentation. With the deployed corpus it yields 3 clusters. The clustering is used to inspect the corpus; scoring does not depend on cluster centroids, because the centroid of an arbitrarily shaped density cluster can lie in empty space and about 16% of the corpus is HDBSCAN noise that no centroid can represent.</w:t>
      </w:r>
    </w:p>
    <w:p>
      <w:pPr>
        <w:keepNext w:val="0"/>
        <w:spacing w:after="120"/>
        <w:jc w:val="both"/>
      </w:pPr>
      <w:r>
        <w:rPr>
          <w:rFonts w:ascii="Times New Roman" w:hAnsi="Times New Roman"/>
          <w:b/>
        </w:rPr>
        <w:t>Scoring.</w:t>
      </w:r>
      <w:r>
        <w:rPr>
          <w:rFonts w:ascii="Times New Roman" w:hAnsi="Times New Roman"/>
        </w:rPr>
        <w:t xml:space="preserve"> For a query embedding </w:t>
      </w:r>
      <w:r>
        <w:rPr>
          <w:rFonts w:ascii="Times New Roman" w:hAnsi="Times New Roman"/>
          <w:i/>
        </w:rPr>
        <w:t>z</w:t>
      </w:r>
      <w:r>
        <w:rPr>
          <w:rFonts w:ascii="Times New Roman" w:hAnsi="Times New Roman"/>
        </w:rPr>
        <w:t xml:space="preserve"> and a label ℓ, let N_k^ℓ(z) be its </w:t>
      </w:r>
      <w:r>
        <w:rPr>
          <w:rFonts w:ascii="Times New Roman" w:hAnsi="Times New Roman"/>
          <w:i/>
        </w:rPr>
        <w:t>k</w:t>
      </w:r>
      <w:r>
        <w:rPr>
          <w:rFonts w:ascii="Times New Roman" w:hAnsi="Times New Roman"/>
        </w:rPr>
        <w:t xml:space="preserve"> = 8 nearest corpus windows carrying label ℓ, </w:t>
      </w:r>
      <w:r>
        <w:rPr>
          <w:rFonts w:ascii="Times New Roman" w:hAnsi="Times New Roman"/>
          <w:i/>
        </w:rPr>
        <w:t>s</w:t>
      </w:r>
      <w:r>
        <w:rPr>
          <w:rFonts w:ascii="Times New Roman" w:hAnsi="Times New Roman"/>
        </w:rPr>
        <w:t>_ℓ the label’s in-class spacing (the 75th percentile, over its members, of the mean distance to their eight nearest same-label neighbours) and p_ℓ(z) an inverse-distance-weighted purity among the 15 nearest windows overall:</w:t>
      </w:r>
    </w:p>
    <w:tbl>
      <w:tblPr>
        <w:tblW w:type="auto" w:w="0"/>
        <w:jc w:val="center"/>
        <w:tblLook w:firstColumn="1" w:firstRow="1" w:lastColumn="0" w:lastRow="0" w:noHBand="0" w:noVBand="1" w:val="04A0"/>
      </w:tblPr>
      <w:tblGrid>
        <w:gridCol w:w="3010"/>
        <w:gridCol w:w="3010"/>
        <w:gridCol w:w="3010"/>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3466407" cy="448887"/>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466407" cy="448887"/>
                          </a:xfrm>
                          <a:prstGeom prst="rect"/>
                        </pic:spPr>
                      </pic:pic>
                    </a:graphicData>
                  </a:graphic>
                </wp:inline>
              </w:drawing>
            </w:r>
          </w:p>
        </w:tc>
        <w:tc>
          <w:tcPr>
            <w:tcW w:type="dxa" w:w="720"/>
            <w:vAlign w:val="center"/>
          </w:tcPr>
          <w:p>
            <w:pPr>
              <w:jc w:val="right"/>
            </w:pPr>
            <w:r>
              <w:rPr>
                <w:rFonts w:ascii="Times New Roman" w:hAnsi="Times New Roman"/>
              </w:rPr>
              <w:t>(6)</w:t>
            </w:r>
          </w:p>
        </w:tc>
      </w:tr>
    </w:tbl>
    <w:p>
      <w:pPr>
        <w:spacing w:after="40" w:line="120" w:lineRule="auto"/>
      </w:pPr>
    </w:p>
    <w:tbl>
      <w:tblPr>
        <w:tblW w:type="auto" w:w="0"/>
        <w:jc w:val="center"/>
        <w:tblLook w:firstColumn="1" w:firstRow="1" w:lastColumn="0" w:lastRow="0" w:noHBand="0" w:noVBand="1" w:val="04A0"/>
      </w:tblPr>
      <w:tblGrid>
        <w:gridCol w:w="3010"/>
        <w:gridCol w:w="3010"/>
        <w:gridCol w:w="3010"/>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4156363" cy="579120"/>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56363" cy="579120"/>
                          </a:xfrm>
                          <a:prstGeom prst="rect"/>
                        </pic:spPr>
                      </pic:pic>
                    </a:graphicData>
                  </a:graphic>
                </wp:inline>
              </w:drawing>
            </w:r>
          </w:p>
        </w:tc>
        <w:tc>
          <w:tcPr>
            <w:tcW w:type="dxa" w:w="720"/>
            <w:vAlign w:val="center"/>
          </w:tcPr>
          <w:p>
            <w:pPr>
              <w:jc w:val="right"/>
            </w:pPr>
            <w:r>
              <w:rPr>
                <w:rFonts w:ascii="Times New Roman" w:hAnsi="Times New Roman"/>
              </w:rPr>
              <w:t>(7)</w:t>
            </w:r>
          </w:p>
        </w:tc>
      </w:tr>
    </w:tbl>
    <w:p>
      <w:pPr>
        <w:spacing w:after="40" w:line="120" w:lineRule="auto"/>
      </w:pPr>
    </w:p>
    <w:p>
      <w:pPr>
        <w:keepNext w:val="0"/>
        <w:spacing w:after="120"/>
        <w:jc w:val="both"/>
      </w:pPr>
      <w:r>
        <w:rPr>
          <w:rFonts w:ascii="Times New Roman" w:hAnsi="Times New Roman"/>
        </w:rPr>
        <w:t xml:space="preserve">In </w:t>
      </w:r>
      <w:r>
        <w:rPr>
          <w:rFonts w:ascii="Times New Roman" w:hAnsi="Times New Roman"/>
          <w:i/>
        </w:rPr>
        <w:t>targeted</w:t>
      </w:r>
      <w:r>
        <w:rPr>
          <w:rFonts w:ascii="Times New Roman" w:hAnsi="Times New Roman"/>
        </w:rPr>
        <w:t xml:space="preserve"> mode the confidence C_ℓ is reported for one chosen event; in </w:t>
      </w:r>
      <w:r>
        <w:rPr>
          <w:rFonts w:ascii="Times New Roman" w:hAnsi="Times New Roman"/>
          <w:i/>
        </w:rPr>
        <w:t>auto</w:t>
      </w:r>
      <w:r>
        <w:rPr>
          <w:rFonts w:ascii="Times New Roman" w:hAnsi="Times New Roman"/>
        </w:rPr>
        <w:t xml:space="preserve"> mode the label with the largest C_ℓ wins. A match requires m_ℓ ≤ 1.4 s_ℓ, C_ℓ ≥ 0.20 and, in auto mode, ℓ ≠ normal with p_ℓ &gt; 0.6; otherwise the report says that no crisis resembles the period and gives the normal-class confidence and baseline instead. Every match is accompanied by the nearest same-label reference window (for the overlay), the period’s annualised return, volatility, maximum drawdown, the HMM regime mix, and the mean 21-trading-day forward return of the nearest same-label windows. Fig. 3 summarises the pipeline.</w:t>
      </w:r>
    </w:p>
    <w:p>
      <w:pPr>
        <w:keepNext/>
        <w:spacing w:after="60"/>
        <w:jc w:val="center"/>
      </w:pPr>
      <w:r>
        <w:drawing>
          <wp:inline xmlns:a="http://schemas.openxmlformats.org/drawingml/2006/main" xmlns:pic="http://schemas.openxmlformats.org/drawingml/2006/picture">
            <wp:extent cx="5486400" cy="3670956"/>
            <wp:docPr id="10" name="Picture 10"/>
            <wp:cNvGraphicFramePr>
              <a:graphicFrameLocks noChangeAspect="1"/>
            </wp:cNvGraphicFramePr>
            <a:graphic>
              <a:graphicData uri="http://schemas.openxmlformats.org/drawingml/2006/picture">
                <pic:pic>
                  <pic:nvPicPr>
                    <pic:cNvPr id="0" name="fig_pipeline_matcher.png"/>
                    <pic:cNvPicPr/>
                  </pic:nvPicPr>
                  <pic:blipFill>
                    <a:blip r:embed="rId19"/>
                    <a:stretch>
                      <a:fillRect/>
                    </a:stretch>
                  </pic:blipFill>
                  <pic:spPr>
                    <a:xfrm>
                      <a:off x="0" y="0"/>
                      <a:ext cx="5486400" cy="3670956"/>
                    </a:xfrm>
                    <a:prstGeom prst="rect"/>
                  </pic:spPr>
                </pic:pic>
              </a:graphicData>
            </a:graphic>
          </wp:inline>
        </w:drawing>
      </w:r>
    </w:p>
    <w:p>
      <w:pPr>
        <w:spacing w:after="200"/>
        <w:jc w:val="both"/>
      </w:pPr>
      <w:r>
        <w:rPr>
          <w:rFonts w:ascii="Times New Roman" w:hAnsi="Times New Roman"/>
          <w:b/>
          <w:sz w:val="19"/>
        </w:rPr>
        <w:t xml:space="preserve">Fig. 3. </w:t>
      </w:r>
      <w:r>
        <w:rPr>
          <w:rFonts w:ascii="Times New Roman" w:hAnsi="Times New Roman"/>
          <w:sz w:val="19"/>
        </w:rPr>
        <w:t>Historical-pattern comparison pipeline: length-invariant shape, Transformer embedding, labelled reference corpus, nearest-neighbour similarity scoring and the explanatory report.</w:t>
      </w:r>
    </w:p>
    <w:p>
      <w:pPr>
        <w:pStyle w:val="Heading3"/>
      </w:pPr>
      <w:r>
        <w:t>3.3.4 Allocation strategies and the adaptive policy</w:t>
      </w:r>
    </w:p>
    <w:p>
      <w:pPr>
        <w:keepNext w:val="0"/>
        <w:spacing w:after="120"/>
        <w:jc w:val="both"/>
      </w:pPr>
      <w:r>
        <w:rPr>
          <w:rFonts w:ascii="Times New Roman" w:hAnsi="Times New Roman"/>
        </w:rPr>
        <w:t xml:space="preserve">Three strategies are compared on identical rebalance dates (every 21 trading days, i.e. approximately monthly) and an identical proportional cost of 5 basis points on turnover. </w:t>
      </w:r>
      <w:r>
        <w:rPr>
          <w:rFonts w:ascii="Times New Roman" w:hAnsi="Times New Roman"/>
          <w:b/>
        </w:rPr>
        <w:t>Equal-Weight</w:t>
      </w:r>
      <w:r>
        <w:rPr>
          <w:rFonts w:ascii="Times New Roman" w:hAnsi="Times New Roman"/>
        </w:rPr>
        <w:t xml:space="preserve"> holds 1/N. </w:t>
      </w:r>
      <w:r>
        <w:rPr>
          <w:rFonts w:ascii="Times New Roman" w:hAnsi="Times New Roman"/>
          <w:b/>
        </w:rPr>
        <w:t>Mean-Variance</w:t>
      </w:r>
      <w:r>
        <w:rPr>
          <w:rFonts w:ascii="Times New Roman" w:hAnsi="Times New Roman"/>
        </w:rPr>
        <w:t xml:space="preserve"> maximises the Sharpe ratio of a long-only, fully invested portfolio using the previous 63 trading days (sequential least-squares programming; equal-weight if the optimiser fails). The </w:t>
      </w:r>
      <w:r>
        <w:rPr>
          <w:rFonts w:ascii="Times New Roman" w:hAnsi="Times New Roman"/>
          <w:b/>
        </w:rPr>
        <w:t>Adaptive</w:t>
      </w:r>
      <w:r>
        <w:rPr>
          <w:rFonts w:ascii="Times New Roman" w:hAnsi="Times New Roman"/>
        </w:rPr>
        <w:t xml:space="preserve"> policy is a two-layer perceptron mapping the state </w:t>
      </w:r>
      <w:r>
        <w:rPr>
          <w:rFonts w:ascii="Times New Roman" w:hAnsi="Times New Roman"/>
          <w:i/>
        </w:rPr>
        <w:t>s</w:t>
      </w:r>
      <w:r>
        <w:rPr>
          <w:rFonts w:ascii="Times New Roman" w:hAnsi="Times New Roman"/>
        </w:rPr>
        <w:t>_k (the three HMM regime probabilities, 21-day momentum and 21-day annualised volatility of each asset) to long-only weights:</w:t>
      </w:r>
    </w:p>
    <w:tbl>
      <w:tblPr>
        <w:tblW w:type="auto" w:w="0"/>
        <w:jc w:val="center"/>
        <w:tblLook w:firstColumn="1" w:firstRow="1" w:lastColumn="0" w:lastRow="0" w:noHBand="0" w:noVBand="1" w:val="04A0"/>
      </w:tblPr>
      <w:tblGrid>
        <w:gridCol w:w="3010"/>
        <w:gridCol w:w="3010"/>
        <w:gridCol w:w="3010"/>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2637905" cy="235527"/>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637905" cy="235527"/>
                          </a:xfrm>
                          <a:prstGeom prst="rect"/>
                        </pic:spPr>
                      </pic:pic>
                    </a:graphicData>
                  </a:graphic>
                </wp:inline>
              </w:drawing>
            </w:r>
          </w:p>
        </w:tc>
        <w:tc>
          <w:tcPr>
            <w:tcW w:type="dxa" w:w="720"/>
            <w:vAlign w:val="center"/>
          </w:tcPr>
          <w:p>
            <w:pPr>
              <w:jc w:val="right"/>
            </w:pPr>
            <w:r>
              <w:rPr>
                <w:rFonts w:ascii="Times New Roman" w:hAnsi="Times New Roman"/>
              </w:rPr>
              <w:t>(8)</w:t>
            </w:r>
          </w:p>
        </w:tc>
      </w:tr>
    </w:tbl>
    <w:p>
      <w:pPr>
        <w:spacing w:after="40" w:line="120" w:lineRule="auto"/>
      </w:pPr>
    </w:p>
    <w:p>
      <w:pPr>
        <w:keepNext w:val="0"/>
        <w:spacing w:after="120"/>
        <w:jc w:val="both"/>
      </w:pPr>
      <w:r>
        <w:rPr>
          <w:rFonts w:ascii="Times New Roman" w:hAnsi="Times New Roman"/>
        </w:rPr>
        <w:t xml:space="preserve">It is trained by OpenAI-style evolution strategies [21]: at each of 40 generations, 32 antithetic Gaussian perturbations (σ = 0.1) of the flattened parameters are evaluated by simulating the policy through the </w:t>
      </w:r>
      <w:r>
        <w:rPr>
          <w:rFonts w:ascii="Times New Roman" w:hAnsi="Times New Roman"/>
          <w:i/>
        </w:rPr>
        <w:t>training</w:t>
      </w:r>
      <w:r>
        <w:rPr>
          <w:rFonts w:ascii="Times New Roman" w:hAnsi="Times New Roman"/>
        </w:rPr>
        <w:t xml:space="preserve"> segment, rewards are rank-normalised, and the parameters move along the reward-weighted perturbation direction (step 0.05). The reward penalises drawdown and turnover so that costs enter the objective:</w:t>
      </w:r>
    </w:p>
    <w:tbl>
      <w:tblPr>
        <w:tblW w:type="auto" w:w="0"/>
        <w:jc w:val="center"/>
        <w:tblLook w:firstColumn="1" w:firstRow="1" w:lastColumn="0" w:lastRow="0" w:noHBand="0" w:noVBand="1" w:val="04A0"/>
      </w:tblPr>
      <w:tblGrid>
        <w:gridCol w:w="3010"/>
        <w:gridCol w:w="3010"/>
        <w:gridCol w:w="3010"/>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3435927" cy="473825"/>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435927" cy="473825"/>
                          </a:xfrm>
                          <a:prstGeom prst="rect"/>
                        </pic:spPr>
                      </pic:pic>
                    </a:graphicData>
                  </a:graphic>
                </wp:inline>
              </w:drawing>
            </w:r>
          </w:p>
        </w:tc>
        <w:tc>
          <w:tcPr>
            <w:tcW w:type="dxa" w:w="720"/>
            <w:vAlign w:val="center"/>
          </w:tcPr>
          <w:p>
            <w:pPr>
              <w:jc w:val="right"/>
            </w:pPr>
            <w:r>
              <w:rPr>
                <w:rFonts w:ascii="Times New Roman" w:hAnsi="Times New Roman"/>
              </w:rPr>
              <w:t>(9)</w:t>
            </w:r>
          </w:p>
        </w:tc>
      </w:tr>
    </w:tbl>
    <w:p>
      <w:pPr>
        <w:spacing w:after="40" w:line="120" w:lineRule="auto"/>
      </w:pPr>
    </w:p>
    <w:p>
      <w:pPr>
        <w:keepNext/>
        <w:spacing w:after="60"/>
        <w:jc w:val="center"/>
      </w:pPr>
      <w:r>
        <w:drawing>
          <wp:inline xmlns:a="http://schemas.openxmlformats.org/drawingml/2006/main" xmlns:pic="http://schemas.openxmlformats.org/drawingml/2006/picture">
            <wp:extent cx="5486400" cy="3387390"/>
            <wp:docPr id="13" name="Picture 13"/>
            <wp:cNvGraphicFramePr>
              <a:graphicFrameLocks noChangeAspect="1"/>
            </wp:cNvGraphicFramePr>
            <a:graphic>
              <a:graphicData uri="http://schemas.openxmlformats.org/drawingml/2006/picture">
                <pic:pic>
                  <pic:nvPicPr>
                    <pic:cNvPr id="0" name="fig_backtest_protocol.png"/>
                    <pic:cNvPicPr/>
                  </pic:nvPicPr>
                  <pic:blipFill>
                    <a:blip r:embed="rId22"/>
                    <a:stretch>
                      <a:fillRect/>
                    </a:stretch>
                  </pic:blipFill>
                  <pic:spPr>
                    <a:xfrm>
                      <a:off x="0" y="0"/>
                      <a:ext cx="5486400" cy="3387390"/>
                    </a:xfrm>
                    <a:prstGeom prst="rect"/>
                  </pic:spPr>
                </pic:pic>
              </a:graphicData>
            </a:graphic>
          </wp:inline>
        </w:drawing>
      </w:r>
    </w:p>
    <w:p>
      <w:pPr>
        <w:spacing w:after="200"/>
        <w:jc w:val="both"/>
      </w:pPr>
      <w:r>
        <w:rPr>
          <w:rFonts w:ascii="Times New Roman" w:hAnsi="Times New Roman"/>
          <w:b/>
          <w:sz w:val="19"/>
        </w:rPr>
        <w:t xml:space="preserve">Fig. 4. </w:t>
      </w:r>
      <w:r>
        <w:rPr>
          <w:rFonts w:ascii="Times New Roman" w:hAnsi="Times New Roman"/>
          <w:sz w:val="19"/>
        </w:rPr>
        <w:t>Walk-forward protocol and allocation policy. The policy is trained only on the pre-crisis segment by evolution strategies and then evaluated without retraining through the crisis and recovery against the two baselines.</w:t>
      </w:r>
    </w:p>
    <w:p>
      <w:pPr>
        <w:pStyle w:val="Heading2"/>
      </w:pPr>
      <w:r>
        <w:t>3.4 Experimental setup</w:t>
      </w:r>
    </w:p>
    <w:p>
      <w:pPr>
        <w:keepNext w:val="0"/>
        <w:spacing w:after="120"/>
        <w:jc w:val="both"/>
      </w:pPr>
      <w:r>
        <w:rPr>
          <w:rFonts w:ascii="Times New Roman" w:hAnsi="Times New Roman"/>
        </w:rPr>
        <w:t>All code runs on an Apple M3 laptop (8 cores, 8 GB RAM, macOS 26) with Python 3.12.7, PyTorch 2.5.1, scikit-learn 1.5.2, hmmlearn 0.3.3, SciPy 1.13.1, NumPy 1.26.4 and pandas 2.2; the dashboard uses React 19, Vite 8 and Recharts 3. No GPU is used. The experiments are:</w:t>
      </w:r>
    </w:p>
    <w:p>
      <w:pPr>
        <w:pStyle w:val="ListBullet"/>
        <w:spacing w:after="60"/>
        <w:jc w:val="both"/>
      </w:pPr>
      <w:r>
        <w:rPr>
          <w:rFonts w:ascii="Times New Roman" w:hAnsi="Times New Roman"/>
          <w:b/>
        </w:rPr>
        <w:t>E1. Backtests.</w:t>
      </w:r>
      <w:r>
        <w:rPr>
          <w:rFonts w:ascii="Times New Roman" w:hAnsi="Times New Roman"/>
        </w:rPr>
        <w:t xml:space="preserve"> Four settings (Table 2), single deterministic run (policy seed 42) for headline tables, with a stationary bootstrap [27] (5,000 resamples, mean block length 10 days) for the Sharpe-ratio difference between the adaptive policy and each baseline on the test segment.</w:t>
      </w:r>
    </w:p>
    <w:p>
      <w:pPr>
        <w:pStyle w:val="ListBullet"/>
        <w:spacing w:after="60"/>
        <w:jc w:val="both"/>
      </w:pPr>
      <w:r>
        <w:rPr>
          <w:rFonts w:ascii="Times New Roman" w:hAnsi="Times New Roman"/>
          <w:b/>
        </w:rPr>
        <w:t>E2. Allocator ablation.</w:t>
      </w:r>
      <w:r>
        <w:rPr>
          <w:rFonts w:ascii="Times New Roman" w:hAnsi="Times New Roman"/>
        </w:rPr>
        <w:t xml:space="preserve"> Six seeds × four settings × three variants: </w:t>
      </w:r>
      <w:r>
        <w:rPr>
          <w:rFonts w:ascii="Times New Roman" w:hAnsi="Times New Roman"/>
          <w:i/>
        </w:rPr>
        <w:t>full</w:t>
      </w:r>
      <w:r>
        <w:rPr>
          <w:rFonts w:ascii="Times New Roman" w:hAnsi="Times New Roman"/>
        </w:rPr>
        <w:t xml:space="preserve"> (regime probabilities, momentum and volatility), </w:t>
      </w:r>
      <w:r>
        <w:rPr>
          <w:rFonts w:ascii="Times New Roman" w:hAnsi="Times New Roman"/>
          <w:i/>
        </w:rPr>
        <w:t>no-regime</w:t>
      </w:r>
      <w:r>
        <w:rPr>
          <w:rFonts w:ascii="Times New Roman" w:hAnsi="Times New Roman"/>
        </w:rPr>
        <w:t xml:space="preserve"> (regime probabilities replaced by a constant, removing all regime information) and </w:t>
      </w:r>
      <w:r>
        <w:rPr>
          <w:rFonts w:ascii="Times New Roman" w:hAnsi="Times New Roman"/>
          <w:i/>
        </w:rPr>
        <w:t>untrained</w:t>
      </w:r>
      <w:r>
        <w:rPr>
          <w:rFonts w:ascii="Times New Roman" w:hAnsi="Times New Roman"/>
        </w:rPr>
        <w:t xml:space="preserve"> (random-initialised policy, 0 generations).</w:t>
      </w:r>
    </w:p>
    <w:p>
      <w:pPr>
        <w:pStyle w:val="ListBullet"/>
        <w:spacing w:after="60"/>
        <w:jc w:val="both"/>
      </w:pPr>
      <w:r>
        <w:rPr>
          <w:rFonts w:ascii="Times New Roman" w:hAnsi="Times New Roman"/>
          <w:b/>
        </w:rPr>
        <w:t>E3. Matcher evaluation.</w:t>
      </w:r>
      <w:r>
        <w:rPr>
          <w:rFonts w:ascii="Times New Roman" w:hAnsi="Times New Roman"/>
        </w:rPr>
        <w:t xml:space="preserve"> (a) Five-fold </w:t>
      </w:r>
      <w:r>
        <w:rPr>
          <w:rFonts w:ascii="Times New Roman" w:hAnsi="Times New Roman"/>
          <w:i/>
        </w:rPr>
        <w:t>blocked</w:t>
      </w:r>
      <w:r>
        <w:rPr>
          <w:rFonts w:ascii="Times New Roman" w:hAnsi="Times New Roman"/>
        </w:rPr>
        <w:t xml:space="preserve"> cross-validation: within each label, windows are sorted by start date and split into five contiguous time blocks; every training window overlapping in calendar time with any test window is purged, and the encoder is re-trained on the training windows only. (b) </w:t>
      </w:r>
      <w:r>
        <w:rPr>
          <w:rFonts w:ascii="Times New Roman" w:hAnsi="Times New Roman"/>
          <w:i/>
        </w:rPr>
        <w:t>Leave-one-event-out</w:t>
      </w:r>
      <w:r>
        <w:rPr>
          <w:rFonts w:ascii="Times New Roman" w:hAnsi="Times New Roman"/>
        </w:rPr>
        <w:t>: train on the other two events plus normal (purged against the held-out event’s dates), and test whether the unseen crisis is predicted as any crisis class rather than normal. (c) Qualitative, in-sample queries (Table 5).</w:t>
      </w:r>
    </w:p>
    <w:p>
      <w:pPr>
        <w:pStyle w:val="ListBullet"/>
        <w:spacing w:after="60"/>
        <w:jc w:val="both"/>
      </w:pPr>
      <w:r>
        <w:rPr>
          <w:rFonts w:ascii="Times New Roman" w:hAnsi="Times New Roman"/>
          <w:b/>
        </w:rPr>
        <w:t>E4. Embedding ablation.</w:t>
      </w:r>
      <w:r>
        <w:rPr>
          <w:rFonts w:ascii="Times New Roman" w:hAnsi="Times New Roman"/>
        </w:rPr>
        <w:t xml:space="preserve"> The same distance-weighted 8-NN classifier on: the trained Transformer (three encoder seeds), an untrained random-initialised Transformer (three seeds), the raw 120-dimensional shape, PCA-16 of the raw shape, and seven hand-crafted statistics (final and extreme cumulative return, mean and peak rolling volatility, minimum and mean drawdown).</w:t>
      </w:r>
    </w:p>
    <w:p>
      <w:pPr>
        <w:keepNext/>
        <w:spacing w:after="60" w:before="160"/>
      </w:pPr>
      <w:r>
        <w:rPr>
          <w:rFonts w:ascii="Times New Roman" w:hAnsi="Times New Roman"/>
          <w:b/>
          <w:sz w:val="19"/>
        </w:rPr>
        <w:t xml:space="preserve">Table 4. </w:t>
      </w:r>
      <w:r>
        <w:rPr>
          <w:rFonts w:ascii="Times New Roman" w:hAnsi="Times New Roman"/>
          <w:sz w:val="19"/>
        </w:rPr>
        <w:t>Key hyper-parameters.</w:t>
      </w:r>
    </w:p>
    <w:tbl>
      <w:tblPr>
        <w:tblW w:type="auto" w:w="0"/>
        <w:jc w:val="center"/>
        <w:tblLayout w:type="fixed"/>
        <w:tblLook w:firstColumn="1" w:firstRow="1" w:lastColumn="0" w:lastRow="0" w:noHBand="0" w:noVBand="1" w:val="04A0"/>
      </w:tblPr>
      <w:tblGrid>
        <w:gridCol w:w="4514"/>
        <w:gridCol w:w="4514"/>
      </w:tblGrid>
      <w:tr>
        <w:tc>
          <w:tcPr>
            <w:tcW w:type="dxa" w:w="1728"/>
            <w:tcBorders>
              <w:top w:val="single" w:sz="10" w:color="000000"/>
              <w:bottom w:val="single" w:sz="6" w:color="000000"/>
            </w:tcBorders>
          </w:tcPr>
          <w:p>
            <w:pPr>
              <w:spacing w:after="20"/>
              <w:jc w:val="left"/>
            </w:pPr>
            <w:r/>
            <w:r>
              <w:rPr>
                <w:rFonts w:ascii="Times New Roman" w:hAnsi="Times New Roman"/>
                <w:b/>
                <w:sz w:val="16"/>
              </w:rPr>
              <w:t>Component</w:t>
            </w:r>
          </w:p>
        </w:tc>
        <w:tc>
          <w:tcPr>
            <w:tcW w:type="dxa" w:w="7632"/>
            <w:tcBorders>
              <w:top w:val="single" w:sz="10" w:color="000000"/>
              <w:bottom w:val="single" w:sz="6" w:color="000000"/>
            </w:tcBorders>
          </w:tcPr>
          <w:p>
            <w:pPr>
              <w:spacing w:after="20"/>
              <w:jc w:val="left"/>
            </w:pPr>
            <w:r/>
            <w:r>
              <w:rPr>
                <w:rFonts w:ascii="Times New Roman" w:hAnsi="Times New Roman"/>
                <w:b/>
                <w:sz w:val="16"/>
              </w:rPr>
              <w:t>Setting</w:t>
            </w:r>
          </w:p>
        </w:tc>
      </w:tr>
      <w:tr>
        <w:tc>
          <w:tcPr>
            <w:tcW w:type="dxa" w:w="1728"/>
          </w:tcPr>
          <w:p>
            <w:pPr>
              <w:spacing w:after="20" w:line="252" w:lineRule="auto"/>
              <w:jc w:val="left"/>
            </w:pPr>
            <w:r/>
            <w:r>
              <w:rPr>
                <w:rFonts w:ascii="Times New Roman" w:hAnsi="Times New Roman"/>
                <w:sz w:val="16"/>
              </w:rPr>
              <w:t>HMM</w:t>
            </w:r>
          </w:p>
        </w:tc>
        <w:tc>
          <w:tcPr>
            <w:tcW w:type="dxa" w:w="7632"/>
          </w:tcPr>
          <w:p>
            <w:pPr>
              <w:spacing w:after="20" w:line="252" w:lineRule="auto"/>
              <w:jc w:val="left"/>
            </w:pPr>
            <w:r/>
            <w:r>
              <w:rPr>
                <w:rFonts w:ascii="Times New Roman" w:hAnsi="Times New Roman"/>
                <w:sz w:val="16"/>
              </w:rPr>
              <w:t>3 states, diagonal covariance, 300 EM iterations, seed 7; features: log return, 20-day volatility, 60-day drawdown</w:t>
            </w:r>
          </w:p>
        </w:tc>
      </w:tr>
      <w:tr>
        <w:tc>
          <w:tcPr>
            <w:tcW w:type="dxa" w:w="1728"/>
          </w:tcPr>
          <w:p>
            <w:pPr>
              <w:spacing w:after="20" w:line="252" w:lineRule="auto"/>
              <w:jc w:val="left"/>
            </w:pPr>
            <w:r/>
            <w:r>
              <w:rPr>
                <w:rFonts w:ascii="Times New Roman" w:hAnsi="Times New Roman"/>
                <w:sz w:val="16"/>
              </w:rPr>
              <w:t>Shape</w:t>
            </w:r>
          </w:p>
        </w:tc>
        <w:tc>
          <w:tcPr>
            <w:tcW w:type="dxa" w:w="7632"/>
          </w:tcPr>
          <w:p>
            <w:pPr>
              <w:spacing w:after="20" w:line="252" w:lineRule="auto"/>
              <w:jc w:val="left"/>
            </w:pPr>
            <w:r/>
            <w:r>
              <w:rPr>
                <w:rFonts w:ascii="Times New Roman" w:hAnsi="Times New Roman"/>
                <w:sz w:val="16"/>
              </w:rPr>
              <w:t>40 points × 3 channels; windows 10–600 days (21 lengths); stride max(3, length/5)</w:t>
            </w:r>
          </w:p>
        </w:tc>
      </w:tr>
      <w:tr>
        <w:tc>
          <w:tcPr>
            <w:tcW w:type="dxa" w:w="1728"/>
          </w:tcPr>
          <w:p>
            <w:pPr>
              <w:spacing w:after="20" w:line="252" w:lineRule="auto"/>
              <w:jc w:val="left"/>
            </w:pPr>
            <w:r/>
            <w:r>
              <w:rPr>
                <w:rFonts w:ascii="Times New Roman" w:hAnsi="Times New Roman"/>
                <w:sz w:val="16"/>
              </w:rPr>
              <w:t>Transformer</w:t>
            </w:r>
          </w:p>
        </w:tc>
        <w:tc>
          <w:tcPr>
            <w:tcW w:type="dxa" w:w="7632"/>
          </w:tcPr>
          <w:p>
            <w:pPr>
              <w:spacing w:after="20" w:line="252" w:lineRule="auto"/>
              <w:jc w:val="left"/>
            </w:pPr>
            <w:r/>
            <w:r>
              <w:rPr>
                <w:rFonts w:ascii="Times New Roman" w:hAnsi="Times New Roman"/>
                <w:sz w:val="16"/>
              </w:rPr>
              <w:t>d_model 32, 4 heads, 2 layers, FFN 64 (GELU), learned positional embedding, mean-pool, 16-d output; Adam, lr 2·10</w:t>
            </w:r>
            <w:r>
              <w:rPr>
                <w:rFonts w:ascii="Times New Roman" w:hAnsi="Times New Roman"/>
                <w:sz w:val="16"/>
                <w:vertAlign w:val="superscript"/>
              </w:rPr>
              <w:t>−3</w:t>
            </w:r>
            <w:r>
              <w:rPr>
                <w:rFonts w:ascii="Times New Roman" w:hAnsi="Times New Roman"/>
                <w:sz w:val="16"/>
              </w:rPr>
              <w:t>, 120 epochs</w:t>
            </w:r>
          </w:p>
        </w:tc>
      </w:tr>
      <w:tr>
        <w:tc>
          <w:tcPr>
            <w:tcW w:type="dxa" w:w="1728"/>
          </w:tcPr>
          <w:p>
            <w:pPr>
              <w:spacing w:after="20" w:line="252" w:lineRule="auto"/>
              <w:jc w:val="left"/>
            </w:pPr>
            <w:r/>
            <w:r>
              <w:rPr>
                <w:rFonts w:ascii="Times New Roman" w:hAnsi="Times New Roman"/>
                <w:sz w:val="16"/>
              </w:rPr>
              <w:t>Corpus</w:t>
            </w:r>
          </w:p>
        </w:tc>
        <w:tc>
          <w:tcPr>
            <w:tcW w:type="dxa" w:w="7632"/>
          </w:tcPr>
          <w:p>
            <w:pPr>
              <w:spacing w:after="20" w:line="252" w:lineRule="auto"/>
              <w:jc w:val="left"/>
            </w:pPr>
            <w:r/>
            <w:r>
              <w:rPr>
                <w:rFonts w:ascii="Times New Roman" w:hAnsi="Times New Roman"/>
                <w:sz w:val="16"/>
              </w:rPr>
              <w:t>Event cap 120/class (length-stratified); normal cap 2.5× events; ≥50% window overlap or ≥80% crisis coverage (≤4× length)</w:t>
            </w:r>
          </w:p>
        </w:tc>
      </w:tr>
      <w:tr>
        <w:tc>
          <w:tcPr>
            <w:tcW w:type="dxa" w:w="1728"/>
          </w:tcPr>
          <w:p>
            <w:pPr>
              <w:spacing w:after="20" w:line="252" w:lineRule="auto"/>
              <w:jc w:val="left"/>
            </w:pPr>
            <w:r/>
            <w:r>
              <w:rPr>
                <w:rFonts w:ascii="Times New Roman" w:hAnsi="Times New Roman"/>
                <w:sz w:val="16"/>
              </w:rPr>
              <w:t>HDBSCAN</w:t>
            </w:r>
          </w:p>
        </w:tc>
        <w:tc>
          <w:tcPr>
            <w:tcW w:type="dxa" w:w="7632"/>
          </w:tcPr>
          <w:p>
            <w:pPr>
              <w:spacing w:after="20" w:line="252" w:lineRule="auto"/>
              <w:jc w:val="left"/>
            </w:pPr>
            <w:r/>
            <w:r>
              <w:rPr>
                <w:rFonts w:ascii="Times New Roman" w:hAnsi="Times New Roman"/>
                <w:sz w:val="16"/>
              </w:rPr>
              <w:t>9-point grid on (min_cluster_size, min_samples); score = 10·#events covered + 5·purity − 3·noise − 0.05·#clusters</w:t>
            </w:r>
          </w:p>
        </w:tc>
      </w:tr>
      <w:tr>
        <w:tc>
          <w:tcPr>
            <w:tcW w:type="dxa" w:w="1728"/>
          </w:tcPr>
          <w:p>
            <w:pPr>
              <w:spacing w:after="20" w:line="252" w:lineRule="auto"/>
              <w:jc w:val="left"/>
            </w:pPr>
            <w:r/>
            <w:r>
              <w:rPr>
                <w:rFonts w:ascii="Times New Roman" w:hAnsi="Times New Roman"/>
                <w:sz w:val="16"/>
              </w:rPr>
              <w:t>Scoring</w:t>
            </w:r>
          </w:p>
        </w:tc>
        <w:tc>
          <w:tcPr>
            <w:tcW w:type="dxa" w:w="7632"/>
          </w:tcPr>
          <w:p>
            <w:pPr>
              <w:spacing w:after="20" w:line="252" w:lineRule="auto"/>
              <w:jc w:val="left"/>
            </w:pPr>
            <w:r/>
            <w:r>
              <w:rPr>
                <w:rFonts w:ascii="Times New Roman" w:hAnsi="Times New Roman"/>
                <w:sz w:val="16"/>
              </w:rPr>
              <w:t>k = 8 same-label neighbours; Gaussian kernel on spacing s_ℓ; purity over 15 nearest; match: m ≤ 1.4 s, C ≥ 0.20</w:t>
            </w:r>
          </w:p>
        </w:tc>
      </w:tr>
      <w:tr>
        <w:tc>
          <w:tcPr>
            <w:tcW w:type="dxa" w:w="1728"/>
          </w:tcPr>
          <w:p>
            <w:pPr>
              <w:spacing w:after="20" w:line="252" w:lineRule="auto"/>
              <w:jc w:val="left"/>
            </w:pPr>
            <w:r/>
            <w:r>
              <w:rPr>
                <w:rFonts w:ascii="Times New Roman" w:hAnsi="Times New Roman"/>
                <w:sz w:val="16"/>
              </w:rPr>
              <w:t>Backtest</w:t>
            </w:r>
          </w:p>
        </w:tc>
        <w:tc>
          <w:tcPr>
            <w:tcW w:type="dxa" w:w="7632"/>
          </w:tcPr>
          <w:p>
            <w:pPr>
              <w:spacing w:after="20" w:line="252" w:lineRule="auto"/>
              <w:jc w:val="left"/>
            </w:pPr>
            <w:r/>
            <w:r>
              <w:rPr>
                <w:rFonts w:ascii="Times New Roman" w:hAnsi="Times New Roman"/>
                <w:sz w:val="16"/>
              </w:rPr>
              <w:t>Rebalance every 21 trading days; cost 5 bps on turnover; risk-free rate 2%; 252 trading days/year</w:t>
            </w:r>
          </w:p>
        </w:tc>
      </w:tr>
      <w:tr>
        <w:tc>
          <w:tcPr>
            <w:tcW w:type="dxa" w:w="1728"/>
          </w:tcPr>
          <w:p>
            <w:pPr>
              <w:spacing w:after="20" w:line="252" w:lineRule="auto"/>
              <w:jc w:val="left"/>
            </w:pPr>
            <w:r/>
            <w:r>
              <w:rPr>
                <w:rFonts w:ascii="Times New Roman" w:hAnsi="Times New Roman"/>
                <w:sz w:val="16"/>
              </w:rPr>
              <w:t>Mean-Variance</w:t>
            </w:r>
          </w:p>
        </w:tc>
        <w:tc>
          <w:tcPr>
            <w:tcW w:type="dxa" w:w="7632"/>
          </w:tcPr>
          <w:p>
            <w:pPr>
              <w:spacing w:after="20" w:line="252" w:lineRule="auto"/>
              <w:jc w:val="left"/>
            </w:pPr>
            <w:r/>
            <w:r>
              <w:rPr>
                <w:rFonts w:ascii="Times New Roman" w:hAnsi="Times New Roman"/>
                <w:sz w:val="16"/>
              </w:rPr>
              <w:t>63-day window, long-only max-Sharpe (SLSQP), fallback equal-weight</w:t>
            </w:r>
          </w:p>
        </w:tc>
      </w:tr>
      <w:tr>
        <w:tc>
          <w:tcPr>
            <w:tcW w:type="dxa" w:w="1728"/>
            <w:tcBorders>
              <w:bottom w:val="single" w:sz="10" w:color="000000"/>
            </w:tcBorders>
          </w:tcPr>
          <w:p>
            <w:pPr>
              <w:spacing w:after="20" w:line="252" w:lineRule="auto"/>
              <w:jc w:val="left"/>
            </w:pPr>
            <w:r/>
            <w:r>
              <w:rPr>
                <w:rFonts w:ascii="Times New Roman" w:hAnsi="Times New Roman"/>
                <w:sz w:val="16"/>
              </w:rPr>
              <w:t>ES policy</w:t>
            </w:r>
          </w:p>
        </w:tc>
        <w:tc>
          <w:tcPr>
            <w:tcW w:type="dxa" w:w="7632"/>
            <w:tcBorders>
              <w:bottom w:val="single" w:sz="10" w:color="000000"/>
            </w:tcBorders>
          </w:tcPr>
          <w:p>
            <w:pPr>
              <w:spacing w:after="20" w:line="252" w:lineRule="auto"/>
              <w:jc w:val="left"/>
            </w:pPr>
            <w:r/>
            <w:r>
              <w:rPr>
                <w:rFonts w:ascii="Times New Roman" w:hAnsi="Times New Roman"/>
                <w:sz w:val="16"/>
              </w:rPr>
              <w:t>Hidden 16 (tanh); 32 antithetic perturbations × 40 generations; σ 0.1; step 0.05; reward SR − 2·MDD − 0.5·turnover</w:t>
            </w:r>
          </w:p>
        </w:tc>
      </w:tr>
    </w:tbl>
    <w:p>
      <w:pPr>
        <w:spacing w:after="80"/>
      </w:pPr>
    </w:p>
    <w:p>
      <w:pPr>
        <w:pStyle w:val="Heading2"/>
      </w:pPr>
      <w:r>
        <w:t>3.5 Evaluation metrics</w:t>
      </w:r>
    </w:p>
    <w:p>
      <w:pPr>
        <w:keepNext w:val="0"/>
        <w:spacing w:after="120"/>
        <w:jc w:val="both"/>
      </w:pPr>
      <w:r>
        <w:rPr>
          <w:rFonts w:ascii="Times New Roman" w:hAnsi="Times New Roman"/>
        </w:rPr>
        <w:t xml:space="preserve">Performance is reported on the out-of-sample (test) segment, from the crisis start to the end of the window, and, where stated, the full period. With daily portfolio returns </w:t>
      </w:r>
      <w:r>
        <w:rPr>
          <w:rFonts w:ascii="Times New Roman" w:hAnsi="Times New Roman"/>
          <w:i/>
        </w:rPr>
        <w:t>r</w:t>
      </w:r>
      <w:r>
        <w:rPr>
          <w:rFonts w:ascii="Times New Roman" w:hAnsi="Times New Roman"/>
        </w:rPr>
        <w:t xml:space="preserve"> and value path V:</w:t>
      </w:r>
    </w:p>
    <w:tbl>
      <w:tblPr>
        <w:tblW w:type="auto" w:w="0"/>
        <w:jc w:val="center"/>
        <w:tblLook w:firstColumn="1" w:firstRow="1" w:lastColumn="0" w:lastRow="0" w:noHBand="0" w:noVBand="1" w:val="04A0"/>
      </w:tblPr>
      <w:tblGrid>
        <w:gridCol w:w="3010"/>
        <w:gridCol w:w="3010"/>
        <w:gridCol w:w="3010"/>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4555374" cy="437803"/>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555374" cy="437803"/>
                          </a:xfrm>
                          <a:prstGeom prst="rect"/>
                        </pic:spPr>
                      </pic:pic>
                    </a:graphicData>
                  </a:graphic>
                </wp:inline>
              </w:drawing>
            </w:r>
          </w:p>
        </w:tc>
        <w:tc>
          <w:tcPr>
            <w:tcW w:type="dxa" w:w="720"/>
            <w:vAlign w:val="center"/>
          </w:tcPr>
          <w:p>
            <w:pPr>
              <w:jc w:val="right"/>
            </w:pPr>
            <w:r>
              <w:rPr>
                <w:rFonts w:ascii="Times New Roman" w:hAnsi="Times New Roman"/>
              </w:rPr>
              <w:t>(10)</w:t>
            </w:r>
          </w:p>
        </w:tc>
      </w:tr>
    </w:tbl>
    <w:p>
      <w:pPr>
        <w:spacing w:after="40" w:line="120" w:lineRule="auto"/>
      </w:pPr>
    </w:p>
    <w:tbl>
      <w:tblPr>
        <w:tblW w:type="auto" w:w="0"/>
        <w:jc w:val="center"/>
        <w:tblLook w:firstColumn="1" w:firstRow="1" w:lastColumn="0" w:lastRow="0" w:noHBand="0" w:noVBand="1" w:val="04A0"/>
      </w:tblPr>
      <w:tblGrid>
        <w:gridCol w:w="3010"/>
        <w:gridCol w:w="3010"/>
        <w:gridCol w:w="3010"/>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4754880" cy="226645"/>
                  <wp:docPr id="15" name="Pict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754880" cy="226645"/>
                          </a:xfrm>
                          <a:prstGeom prst="rect"/>
                        </pic:spPr>
                      </pic:pic>
                    </a:graphicData>
                  </a:graphic>
                </wp:inline>
              </w:drawing>
            </w:r>
          </w:p>
        </w:tc>
        <w:tc>
          <w:tcPr>
            <w:tcW w:type="dxa" w:w="720"/>
            <w:vAlign w:val="center"/>
          </w:tcPr>
          <w:p>
            <w:pPr>
              <w:jc w:val="right"/>
            </w:pPr>
            <w:r>
              <w:rPr>
                <w:rFonts w:ascii="Times New Roman" w:hAnsi="Times New Roman"/>
              </w:rPr>
              <w:t>(11)</w:t>
            </w:r>
          </w:p>
        </w:tc>
      </w:tr>
    </w:tbl>
    <w:p>
      <w:pPr>
        <w:spacing w:after="40" w:line="120" w:lineRule="auto"/>
      </w:pPr>
    </w:p>
    <w:p>
      <w:pPr>
        <w:keepNext w:val="0"/>
        <w:spacing w:after="120"/>
        <w:jc w:val="both"/>
      </w:pPr>
      <w:r>
        <w:rPr>
          <w:rFonts w:ascii="Times New Roman" w:hAnsi="Times New Roman"/>
        </w:rPr>
        <w:t xml:space="preserve">Total return, annualised return and annualised volatility are also reported, and </w:t>
      </w:r>
      <w:r>
        <w:rPr>
          <w:rFonts w:ascii="Times New Roman" w:hAnsi="Times New Roman"/>
          <w:i/>
        </w:rPr>
        <w:t>turnover</w:t>
      </w:r>
      <w:r>
        <w:rPr>
          <w:rFonts w:ascii="Times New Roman" w:hAnsi="Times New Roman"/>
        </w:rPr>
        <w:t xml:space="preserve"> is the mean ℓ¹ weight change per rebalance. Because the event classes are far smaller than the normal class, matcher performance is reported as </w:t>
      </w:r>
      <w:r>
        <w:rPr>
          <w:rFonts w:ascii="Times New Roman" w:hAnsi="Times New Roman"/>
          <w:i/>
        </w:rPr>
        <w:t>balanced accuracy</w:t>
      </w:r>
      <w:r>
        <w:rPr>
          <w:rFonts w:ascii="Times New Roman" w:hAnsi="Times New Roman"/>
        </w:rPr>
        <w:t xml:space="preserve"> (mean per-class recall; chance = 0.25 for four classes) and macro-F1, together with the </w:t>
      </w:r>
      <w:r>
        <w:rPr>
          <w:rFonts w:ascii="Times New Roman" w:hAnsi="Times New Roman"/>
          <w:i/>
        </w:rPr>
        <w:t>crisis recall</w:t>
      </w:r>
      <w:r>
        <w:rPr>
          <w:rFonts w:ascii="Times New Roman" w:hAnsi="Times New Roman"/>
        </w:rPr>
        <w:t xml:space="preserve"> (share of event windows predicted as any event) and the </w:t>
      </w:r>
      <w:r>
        <w:rPr>
          <w:rFonts w:ascii="Times New Roman" w:hAnsi="Times New Roman"/>
          <w:i/>
        </w:rPr>
        <w:t>false-alarm rate</w:t>
      </w:r>
      <w:r>
        <w:rPr>
          <w:rFonts w:ascii="Times New Roman" w:hAnsi="Times New Roman"/>
        </w:rPr>
        <w:t xml:space="preserve"> (share of normal windows predicted as an event); plain accuracy is shown only for completeness because always predicting “normal” already reaches 70%.</w:t>
      </w:r>
    </w:p>
    <w:p>
      <w:pPr>
        <w:pStyle w:val="Heading1"/>
      </w:pPr>
      <w:r>
        <w:t>4. Results and Discussion</w:t>
      </w:r>
    </w:p>
    <w:p>
      <w:pPr>
        <w:pStyle w:val="Heading2"/>
      </w:pPr>
      <w:r>
        <w:t>4.1 Experimental results</w:t>
      </w:r>
    </w:p>
    <w:p>
      <w:pPr>
        <w:pStyle w:val="Heading3"/>
      </w:pPr>
      <w:r>
        <w:t>4.1.1 Regime detection</w:t>
      </w:r>
    </w:p>
    <w:p>
      <w:pPr>
        <w:keepNext w:val="0"/>
        <w:spacing w:after="120"/>
        <w:jc w:val="both"/>
      </w:pPr>
      <w:r>
        <w:rPr>
          <w:rFonts w:ascii="Times New Roman" w:hAnsi="Times New Roman"/>
        </w:rPr>
        <w:t>The unsupervised HMM labels the sustained high-volatility stretches of all three crises as Crisis (Fig. 5): the red band covers the 2008–09 collapse, the October 2002 bottom of the dot-com bust and the March 2020 crash, without any crash dates being supplied. Crisis days are a minority of each window (19%, 14% and 8%), and Bear states dominate the slow phases before and after, so the model separates high-volatility turmoil from gradual decline. The labels are noisier in calm periods, where short Bull/Bear alternations occur; the HMM is therefore used as a descriptive overlay and as an input to the allocator, not as a trading signal.</w:t>
      </w:r>
    </w:p>
    <w:p>
      <w:pPr>
        <w:keepNext/>
        <w:spacing w:after="60"/>
        <w:jc w:val="center"/>
      </w:pPr>
      <w:r>
        <w:drawing>
          <wp:inline xmlns:a="http://schemas.openxmlformats.org/drawingml/2006/main" xmlns:pic="http://schemas.openxmlformats.org/drawingml/2006/picture">
            <wp:extent cx="5669280" cy="5362832"/>
            <wp:docPr id="16" name="Picture 16"/>
            <wp:cNvGraphicFramePr>
              <a:graphicFrameLocks noChangeAspect="1"/>
            </wp:cNvGraphicFramePr>
            <a:graphic>
              <a:graphicData uri="http://schemas.openxmlformats.org/drawingml/2006/picture">
                <pic:pic>
                  <pic:nvPicPr>
                    <pic:cNvPr id="0" name="fig_regimes.png"/>
                    <pic:cNvPicPr/>
                  </pic:nvPicPr>
                  <pic:blipFill>
                    <a:blip r:embed="rId25"/>
                    <a:stretch>
                      <a:fillRect/>
                    </a:stretch>
                  </pic:blipFill>
                  <pic:spPr>
                    <a:xfrm>
                      <a:off x="0" y="0"/>
                      <a:ext cx="5669280" cy="5362832"/>
                    </a:xfrm>
                    <a:prstGeom prst="rect"/>
                  </pic:spPr>
                </pic:pic>
              </a:graphicData>
            </a:graphic>
          </wp:inline>
        </w:drawing>
      </w:r>
    </w:p>
    <w:p>
      <w:pPr>
        <w:spacing w:after="200"/>
        <w:jc w:val="both"/>
      </w:pPr>
      <w:r>
        <w:rPr>
          <w:rFonts w:ascii="Times New Roman" w:hAnsi="Times New Roman"/>
          <w:b/>
          <w:sz w:val="19"/>
        </w:rPr>
        <w:t xml:space="preserve">Fig. 5. </w:t>
      </w:r>
      <w:r>
        <w:rPr>
          <w:rFonts w:ascii="Times New Roman" w:hAnsi="Times New Roman"/>
          <w:sz w:val="19"/>
        </w:rPr>
        <w:t>Unsupervised three-state HMM regimes on SPY for (a) the dot-com bust, (b) the 2008 GFC and (c) the COVID-19 crash. Dashed lines mark the known crisis start and end, which the model never sees.</w:t>
      </w:r>
    </w:p>
    <w:p>
      <w:pPr>
        <w:pStyle w:val="Heading3"/>
      </w:pPr>
      <w:r>
        <w:t>4.1.2 Historical-pattern comparison</w:t>
      </w:r>
    </w:p>
    <w:p>
      <w:pPr>
        <w:keepNext w:val="0"/>
        <w:spacing w:after="120"/>
        <w:jc w:val="both"/>
      </w:pPr>
      <w:r>
        <w:rPr>
          <w:rFonts w:ascii="Times New Roman" w:hAnsi="Times New Roman"/>
          <w:b/>
        </w:rPr>
        <w:t>In-sample illustration.</w:t>
      </w:r>
      <w:r>
        <w:rPr>
          <w:rFonts w:ascii="Times New Roman" w:hAnsi="Times New Roman"/>
        </w:rPr>
        <w:t xml:space="preserve"> Table 5 and Fig. 6 show the comparison report on five representative queries. The three crisis windows are matched to their own events with confidences of 59% (COVID-19), 72% (GFC) and 89% (dot-com), and two ordinary periods (2013–2015 and the most recent months) are labelled normal. These queries, however, overlap the periods from which the corpus was built, so the matches are partly circular; they illustrate the report, and the leakage-controlled tests below measure generalisation.</w:t>
      </w:r>
    </w:p>
    <w:p>
      <w:pPr>
        <w:keepNext/>
        <w:spacing w:after="60" w:before="160"/>
      </w:pPr>
      <w:r>
        <w:rPr>
          <w:rFonts w:ascii="Times New Roman" w:hAnsi="Times New Roman"/>
          <w:b/>
          <w:sz w:val="19"/>
        </w:rPr>
        <w:t xml:space="preserve">Table 5. </w:t>
      </w:r>
      <w:r>
        <w:rPr>
          <w:rFonts w:ascii="Times New Roman" w:hAnsi="Times New Roman"/>
          <w:sz w:val="19"/>
        </w:rPr>
        <w:t>Comparison-report output for five example queries (in-sample: the periods overlap the corpus). Crisis rows are scored in targeted mode against the corresponding event; the other two use auto-detect mode. Next-21d baseline is the mean 21-trading-day forward return of the nearest same-label reference windows.</w:t>
      </w:r>
    </w:p>
    <w:tbl>
      <w:tblPr>
        <w:tblW w:type="auto" w:w="0"/>
        <w:jc w:val="center"/>
        <w:tblLayout w:type="fixed"/>
        <w:tblLook w:firstColumn="1" w:firstRow="1" w:lastColumn="0" w:lastRow="0" w:noHBand="0" w:noVBand="1" w:val="04A0"/>
      </w:tblPr>
      <w:tblGrid>
        <w:gridCol w:w="1129"/>
        <w:gridCol w:w="1129"/>
        <w:gridCol w:w="1129"/>
        <w:gridCol w:w="1129"/>
        <w:gridCol w:w="1129"/>
        <w:gridCol w:w="1129"/>
        <w:gridCol w:w="1129"/>
        <w:gridCol w:w="1129"/>
      </w:tblGrid>
      <w:tr>
        <w:tc>
          <w:tcPr>
            <w:tcW w:type="dxa" w:w="1440"/>
            <w:tcBorders>
              <w:top w:val="single" w:sz="10" w:color="000000"/>
              <w:bottom w:val="single" w:sz="6" w:color="000000"/>
            </w:tcBorders>
          </w:tcPr>
          <w:p>
            <w:pPr>
              <w:spacing w:after="20"/>
              <w:jc w:val="left"/>
            </w:pPr>
            <w:r/>
            <w:r>
              <w:rPr>
                <w:rFonts w:ascii="Times New Roman" w:hAnsi="Times New Roman"/>
                <w:b/>
                <w:sz w:val="15"/>
              </w:rPr>
              <w:t>Query</w:t>
            </w:r>
          </w:p>
        </w:tc>
        <w:tc>
          <w:tcPr>
            <w:tcW w:type="dxa" w:w="1872"/>
            <w:tcBorders>
              <w:top w:val="single" w:sz="10" w:color="000000"/>
              <w:bottom w:val="single" w:sz="6" w:color="000000"/>
            </w:tcBorders>
          </w:tcPr>
          <w:p>
            <w:pPr>
              <w:spacing w:after="20"/>
              <w:jc w:val="left"/>
            </w:pPr>
            <w:r/>
            <w:r>
              <w:rPr>
                <w:rFonts w:ascii="Times New Roman" w:hAnsi="Times New Roman"/>
                <w:b/>
                <w:sz w:val="15"/>
              </w:rPr>
              <w:t>Symbol, range</w:t>
            </w:r>
          </w:p>
        </w:tc>
        <w:tc>
          <w:tcPr>
            <w:tcW w:type="dxa" w:w="576"/>
            <w:tcBorders>
              <w:top w:val="single" w:sz="10" w:color="000000"/>
              <w:bottom w:val="single" w:sz="6" w:color="000000"/>
            </w:tcBorders>
          </w:tcPr>
          <w:p>
            <w:pPr>
              <w:spacing w:after="20"/>
              <w:jc w:val="center"/>
            </w:pPr>
            <w:r/>
            <w:r>
              <w:rPr>
                <w:rFonts w:ascii="Times New Roman" w:hAnsi="Times New Roman"/>
                <w:b/>
                <w:sz w:val="15"/>
              </w:rPr>
              <w:t>Days</w:t>
            </w:r>
          </w:p>
        </w:tc>
        <w:tc>
          <w:tcPr>
            <w:tcW w:type="dxa" w:w="1368"/>
            <w:tcBorders>
              <w:top w:val="single" w:sz="10" w:color="000000"/>
              <w:bottom w:val="single" w:sz="6" w:color="000000"/>
            </w:tcBorders>
          </w:tcPr>
          <w:p>
            <w:pPr>
              <w:spacing w:after="20"/>
              <w:jc w:val="center"/>
            </w:pPr>
            <w:r/>
            <w:r>
              <w:rPr>
                <w:rFonts w:ascii="Times New Roman" w:hAnsi="Times New Roman"/>
                <w:b/>
                <w:sz w:val="15"/>
              </w:rPr>
              <w:t>Result (confidence)</w:t>
            </w:r>
          </w:p>
        </w:tc>
        <w:tc>
          <w:tcPr>
            <w:tcW w:type="dxa" w:w="864"/>
            <w:tcBorders>
              <w:top w:val="single" w:sz="10" w:color="000000"/>
              <w:bottom w:val="single" w:sz="6" w:color="000000"/>
            </w:tcBorders>
          </w:tcPr>
          <w:p>
            <w:pPr>
              <w:spacing w:after="20"/>
              <w:jc w:val="center"/>
            </w:pPr>
            <w:r/>
            <w:r>
              <w:rPr>
                <w:rFonts w:ascii="Times New Roman" w:hAnsi="Times New Roman"/>
                <w:b/>
                <w:sz w:val="15"/>
              </w:rPr>
              <w:t>Ann. return</w:t>
            </w:r>
          </w:p>
        </w:tc>
        <w:tc>
          <w:tcPr>
            <w:tcW w:type="dxa" w:w="792"/>
            <w:tcBorders>
              <w:top w:val="single" w:sz="10" w:color="000000"/>
              <w:bottom w:val="single" w:sz="6" w:color="000000"/>
            </w:tcBorders>
          </w:tcPr>
          <w:p>
            <w:pPr>
              <w:spacing w:after="20"/>
              <w:jc w:val="center"/>
            </w:pPr>
            <w:r/>
            <w:r>
              <w:rPr>
                <w:rFonts w:ascii="Times New Roman" w:hAnsi="Times New Roman"/>
                <w:b/>
                <w:sz w:val="15"/>
              </w:rPr>
              <w:t>Max DD</w:t>
            </w:r>
          </w:p>
        </w:tc>
        <w:tc>
          <w:tcPr>
            <w:tcW w:type="dxa" w:w="1224"/>
            <w:tcBorders>
              <w:top w:val="single" w:sz="10" w:color="000000"/>
              <w:bottom w:val="single" w:sz="6" w:color="000000"/>
            </w:tcBorders>
          </w:tcPr>
          <w:p>
            <w:pPr>
              <w:spacing w:after="20"/>
              <w:jc w:val="center"/>
            </w:pPr>
            <w:r/>
            <w:r>
              <w:rPr>
                <w:rFonts w:ascii="Times New Roman" w:hAnsi="Times New Roman"/>
                <w:b/>
                <w:sz w:val="15"/>
              </w:rPr>
              <w:t>HMM bull/bear/crisis</w:t>
            </w:r>
          </w:p>
        </w:tc>
        <w:tc>
          <w:tcPr>
            <w:tcW w:type="dxa" w:w="936"/>
            <w:tcBorders>
              <w:top w:val="single" w:sz="10" w:color="000000"/>
              <w:bottom w:val="single" w:sz="6" w:color="000000"/>
            </w:tcBorders>
          </w:tcPr>
          <w:p>
            <w:pPr>
              <w:spacing w:after="20"/>
              <w:jc w:val="center"/>
            </w:pPr>
            <w:r/>
            <w:r>
              <w:rPr>
                <w:rFonts w:ascii="Times New Roman" w:hAnsi="Times New Roman"/>
                <w:b/>
                <w:sz w:val="15"/>
              </w:rPr>
              <w:t>Next-21d baseline</w:t>
            </w:r>
          </w:p>
        </w:tc>
      </w:tr>
      <w:tr>
        <w:tc>
          <w:tcPr>
            <w:tcW w:type="dxa" w:w="1440"/>
          </w:tcPr>
          <w:p>
            <w:pPr>
              <w:spacing w:after="20" w:line="252" w:lineRule="auto"/>
              <w:jc w:val="left"/>
            </w:pPr>
            <w:r/>
            <w:r>
              <w:rPr>
                <w:rFonts w:ascii="Times New Roman" w:hAnsi="Times New Roman"/>
                <w:sz w:val="15"/>
              </w:rPr>
              <w:t>COVID-19 crash window</w:t>
            </w:r>
          </w:p>
        </w:tc>
        <w:tc>
          <w:tcPr>
            <w:tcW w:type="dxa" w:w="1872"/>
          </w:tcPr>
          <w:p>
            <w:pPr>
              <w:spacing w:after="20" w:line="252" w:lineRule="auto"/>
              <w:jc w:val="left"/>
            </w:pPr>
            <w:r/>
            <w:r>
              <w:rPr>
                <w:rFonts w:ascii="Times New Roman" w:hAnsi="Times New Roman"/>
                <w:sz w:val="15"/>
              </w:rPr>
              <w:t>SPY 2020-01-15 → 2020-05-15</w:t>
            </w:r>
          </w:p>
        </w:tc>
        <w:tc>
          <w:tcPr>
            <w:tcW w:type="dxa" w:w="576"/>
          </w:tcPr>
          <w:p>
            <w:pPr>
              <w:spacing w:after="20" w:line="252" w:lineRule="auto"/>
              <w:jc w:val="center"/>
            </w:pPr>
            <w:r/>
            <w:r>
              <w:rPr>
                <w:rFonts w:ascii="Times New Roman" w:hAnsi="Times New Roman"/>
                <w:sz w:val="15"/>
              </w:rPr>
              <w:t>85</w:t>
            </w:r>
          </w:p>
        </w:tc>
        <w:tc>
          <w:tcPr>
            <w:tcW w:type="dxa" w:w="1368"/>
          </w:tcPr>
          <w:p>
            <w:pPr>
              <w:spacing w:after="20" w:line="252" w:lineRule="auto"/>
              <w:jc w:val="center"/>
            </w:pPr>
            <w:r/>
            <w:r>
              <w:rPr>
                <w:rFonts w:ascii="Times New Roman" w:hAnsi="Times New Roman"/>
                <w:sz w:val="15"/>
              </w:rPr>
              <w:t>covid (59%)</w:t>
            </w:r>
          </w:p>
        </w:tc>
        <w:tc>
          <w:tcPr>
            <w:tcW w:type="dxa" w:w="864"/>
          </w:tcPr>
          <w:p>
            <w:pPr>
              <w:spacing w:after="20" w:line="252" w:lineRule="auto"/>
              <w:jc w:val="center"/>
            </w:pPr>
            <w:r/>
            <w:r>
              <w:rPr>
                <w:rFonts w:ascii="Times New Roman" w:hAnsi="Times New Roman"/>
                <w:sz w:val="15"/>
              </w:rPr>
              <w:t>-32.1%</w:t>
            </w:r>
          </w:p>
        </w:tc>
        <w:tc>
          <w:tcPr>
            <w:tcW w:type="dxa" w:w="792"/>
          </w:tcPr>
          <w:p>
            <w:pPr>
              <w:spacing w:after="20" w:line="252" w:lineRule="auto"/>
              <w:jc w:val="center"/>
            </w:pPr>
            <w:r/>
            <w:r>
              <w:rPr>
                <w:rFonts w:ascii="Times New Roman" w:hAnsi="Times New Roman"/>
                <w:sz w:val="15"/>
              </w:rPr>
              <w:t>-33.7%</w:t>
            </w:r>
          </w:p>
        </w:tc>
        <w:tc>
          <w:tcPr>
            <w:tcW w:type="dxa" w:w="1224"/>
          </w:tcPr>
          <w:p>
            <w:pPr>
              <w:spacing w:after="20" w:line="252" w:lineRule="auto"/>
              <w:jc w:val="center"/>
            </w:pPr>
            <w:r/>
            <w:r>
              <w:rPr>
                <w:rFonts w:ascii="Times New Roman" w:hAnsi="Times New Roman"/>
                <w:sz w:val="15"/>
              </w:rPr>
              <w:t>32%/38%/29%</w:t>
            </w:r>
          </w:p>
        </w:tc>
        <w:tc>
          <w:tcPr>
            <w:tcW w:type="dxa" w:w="936"/>
          </w:tcPr>
          <w:p>
            <w:pPr>
              <w:spacing w:after="20" w:line="252" w:lineRule="auto"/>
              <w:jc w:val="center"/>
            </w:pPr>
            <w:r/>
            <w:r>
              <w:rPr>
                <w:rFonts w:ascii="Times New Roman" w:hAnsi="Times New Roman"/>
                <w:sz w:val="15"/>
              </w:rPr>
              <w:t>5.2%</w:t>
            </w:r>
          </w:p>
        </w:tc>
      </w:tr>
      <w:tr>
        <w:tc>
          <w:tcPr>
            <w:tcW w:type="dxa" w:w="1440"/>
          </w:tcPr>
          <w:p>
            <w:pPr>
              <w:spacing w:after="20" w:line="252" w:lineRule="auto"/>
              <w:jc w:val="left"/>
            </w:pPr>
            <w:r/>
            <w:r>
              <w:rPr>
                <w:rFonts w:ascii="Times New Roman" w:hAnsi="Times New Roman"/>
                <w:sz w:val="15"/>
              </w:rPr>
              <w:t>2008 GFC window</w:t>
            </w:r>
          </w:p>
        </w:tc>
        <w:tc>
          <w:tcPr>
            <w:tcW w:type="dxa" w:w="1872"/>
          </w:tcPr>
          <w:p>
            <w:pPr>
              <w:spacing w:after="20" w:line="252" w:lineRule="auto"/>
              <w:jc w:val="left"/>
            </w:pPr>
            <w:r/>
            <w:r>
              <w:rPr>
                <w:rFonts w:ascii="Times New Roman" w:hAnsi="Times New Roman"/>
                <w:sz w:val="15"/>
              </w:rPr>
              <w:t>SPY 2008-01-02 → 2009-06-30</w:t>
            </w:r>
          </w:p>
        </w:tc>
        <w:tc>
          <w:tcPr>
            <w:tcW w:type="dxa" w:w="576"/>
          </w:tcPr>
          <w:p>
            <w:pPr>
              <w:spacing w:after="20" w:line="252" w:lineRule="auto"/>
              <w:jc w:val="center"/>
            </w:pPr>
            <w:r/>
            <w:r>
              <w:rPr>
                <w:rFonts w:ascii="Times New Roman" w:hAnsi="Times New Roman"/>
                <w:sz w:val="15"/>
              </w:rPr>
              <w:t>377</w:t>
            </w:r>
          </w:p>
        </w:tc>
        <w:tc>
          <w:tcPr>
            <w:tcW w:type="dxa" w:w="1368"/>
          </w:tcPr>
          <w:p>
            <w:pPr>
              <w:spacing w:after="20" w:line="252" w:lineRule="auto"/>
              <w:jc w:val="center"/>
            </w:pPr>
            <w:r/>
            <w:r>
              <w:rPr>
                <w:rFonts w:ascii="Times New Roman" w:hAnsi="Times New Roman"/>
                <w:sz w:val="15"/>
              </w:rPr>
              <w:t>gfc (72%)</w:t>
            </w:r>
          </w:p>
        </w:tc>
        <w:tc>
          <w:tcPr>
            <w:tcW w:type="dxa" w:w="864"/>
          </w:tcPr>
          <w:p>
            <w:pPr>
              <w:spacing w:after="20" w:line="252" w:lineRule="auto"/>
              <w:jc w:val="center"/>
            </w:pPr>
            <w:r/>
            <w:r>
              <w:rPr>
                <w:rFonts w:ascii="Times New Roman" w:hAnsi="Times New Roman"/>
                <w:sz w:val="15"/>
              </w:rPr>
              <w:t>-24.4%</w:t>
            </w:r>
          </w:p>
        </w:tc>
        <w:tc>
          <w:tcPr>
            <w:tcW w:type="dxa" w:w="792"/>
          </w:tcPr>
          <w:p>
            <w:pPr>
              <w:spacing w:after="20" w:line="252" w:lineRule="auto"/>
              <w:jc w:val="center"/>
            </w:pPr>
            <w:r/>
            <w:r>
              <w:rPr>
                <w:rFonts w:ascii="Times New Roman" w:hAnsi="Times New Roman"/>
                <w:sz w:val="15"/>
              </w:rPr>
              <w:t>-51.9%</w:t>
            </w:r>
          </w:p>
        </w:tc>
        <w:tc>
          <w:tcPr>
            <w:tcW w:type="dxa" w:w="1224"/>
          </w:tcPr>
          <w:p>
            <w:pPr>
              <w:spacing w:after="20" w:line="252" w:lineRule="auto"/>
              <w:jc w:val="center"/>
            </w:pPr>
            <w:r/>
            <w:r>
              <w:rPr>
                <w:rFonts w:ascii="Times New Roman" w:hAnsi="Times New Roman"/>
                <w:sz w:val="15"/>
              </w:rPr>
              <w:t>57%/28%/15%</w:t>
            </w:r>
          </w:p>
        </w:tc>
        <w:tc>
          <w:tcPr>
            <w:tcW w:type="dxa" w:w="936"/>
          </w:tcPr>
          <w:p>
            <w:pPr>
              <w:spacing w:after="20" w:line="252" w:lineRule="auto"/>
              <w:jc w:val="center"/>
            </w:pPr>
            <w:r/>
            <w:r>
              <w:rPr>
                <w:rFonts w:ascii="Times New Roman" w:hAnsi="Times New Roman"/>
                <w:sz w:val="15"/>
              </w:rPr>
              <w:t>3.1%</w:t>
            </w:r>
          </w:p>
        </w:tc>
      </w:tr>
      <w:tr>
        <w:tc>
          <w:tcPr>
            <w:tcW w:type="dxa" w:w="1440"/>
          </w:tcPr>
          <w:p>
            <w:pPr>
              <w:spacing w:after="20" w:line="252" w:lineRule="auto"/>
              <w:jc w:val="left"/>
            </w:pPr>
            <w:r/>
            <w:r>
              <w:rPr>
                <w:rFonts w:ascii="Times New Roman" w:hAnsi="Times New Roman"/>
                <w:sz w:val="15"/>
              </w:rPr>
              <w:t>Dot-com bust window</w:t>
            </w:r>
          </w:p>
        </w:tc>
        <w:tc>
          <w:tcPr>
            <w:tcW w:type="dxa" w:w="1872"/>
          </w:tcPr>
          <w:p>
            <w:pPr>
              <w:spacing w:after="20" w:line="252" w:lineRule="auto"/>
              <w:jc w:val="left"/>
            </w:pPr>
            <w:r/>
            <w:r>
              <w:rPr>
                <w:rFonts w:ascii="Times New Roman" w:hAnsi="Times New Roman"/>
                <w:sz w:val="15"/>
              </w:rPr>
              <w:t>QQQ 2000-03-01 → 2002-10-01</w:t>
            </w:r>
          </w:p>
        </w:tc>
        <w:tc>
          <w:tcPr>
            <w:tcW w:type="dxa" w:w="576"/>
          </w:tcPr>
          <w:p>
            <w:pPr>
              <w:spacing w:after="20" w:line="252" w:lineRule="auto"/>
              <w:jc w:val="center"/>
            </w:pPr>
            <w:r/>
            <w:r>
              <w:rPr>
                <w:rFonts w:ascii="Times New Roman" w:hAnsi="Times New Roman"/>
                <w:sz w:val="15"/>
              </w:rPr>
              <w:t>649</w:t>
            </w:r>
          </w:p>
        </w:tc>
        <w:tc>
          <w:tcPr>
            <w:tcW w:type="dxa" w:w="1368"/>
          </w:tcPr>
          <w:p>
            <w:pPr>
              <w:spacing w:after="20" w:line="252" w:lineRule="auto"/>
              <w:jc w:val="center"/>
            </w:pPr>
            <w:r/>
            <w:r>
              <w:rPr>
                <w:rFonts w:ascii="Times New Roman" w:hAnsi="Times New Roman"/>
                <w:sz w:val="15"/>
              </w:rPr>
              <w:t>dotcom (89%)</w:t>
            </w:r>
          </w:p>
        </w:tc>
        <w:tc>
          <w:tcPr>
            <w:tcW w:type="dxa" w:w="864"/>
          </w:tcPr>
          <w:p>
            <w:pPr>
              <w:spacing w:after="20" w:line="252" w:lineRule="auto"/>
              <w:jc w:val="center"/>
            </w:pPr>
            <w:r/>
            <w:r>
              <w:rPr>
                <w:rFonts w:ascii="Times New Roman" w:hAnsi="Times New Roman"/>
                <w:sz w:val="15"/>
              </w:rPr>
              <w:t>-46.0%</w:t>
            </w:r>
          </w:p>
        </w:tc>
        <w:tc>
          <w:tcPr>
            <w:tcW w:type="dxa" w:w="792"/>
          </w:tcPr>
          <w:p>
            <w:pPr>
              <w:spacing w:after="20" w:line="252" w:lineRule="auto"/>
              <w:jc w:val="center"/>
            </w:pPr>
            <w:r/>
            <w:r>
              <w:rPr>
                <w:rFonts w:ascii="Times New Roman" w:hAnsi="Times New Roman"/>
                <w:sz w:val="15"/>
              </w:rPr>
              <w:t>-82.4%</w:t>
            </w:r>
          </w:p>
        </w:tc>
        <w:tc>
          <w:tcPr>
            <w:tcW w:type="dxa" w:w="1224"/>
          </w:tcPr>
          <w:p>
            <w:pPr>
              <w:spacing w:after="20" w:line="252" w:lineRule="auto"/>
              <w:jc w:val="center"/>
            </w:pPr>
            <w:r/>
            <w:r>
              <w:rPr>
                <w:rFonts w:ascii="Times New Roman" w:hAnsi="Times New Roman"/>
                <w:sz w:val="15"/>
              </w:rPr>
              <w:t>41%/34%/25%</w:t>
            </w:r>
          </w:p>
        </w:tc>
        <w:tc>
          <w:tcPr>
            <w:tcW w:type="dxa" w:w="936"/>
          </w:tcPr>
          <w:p>
            <w:pPr>
              <w:spacing w:after="20" w:line="252" w:lineRule="auto"/>
              <w:jc w:val="center"/>
            </w:pPr>
            <w:r/>
            <w:r>
              <w:rPr>
                <w:rFonts w:ascii="Times New Roman" w:hAnsi="Times New Roman"/>
                <w:sz w:val="15"/>
              </w:rPr>
              <w:t>-1.3%</w:t>
            </w:r>
          </w:p>
        </w:tc>
      </w:tr>
      <w:tr>
        <w:tc>
          <w:tcPr>
            <w:tcW w:type="dxa" w:w="1440"/>
          </w:tcPr>
          <w:p>
            <w:pPr>
              <w:spacing w:after="20" w:line="252" w:lineRule="auto"/>
              <w:jc w:val="left"/>
            </w:pPr>
            <w:r/>
            <w:r>
              <w:rPr>
                <w:rFonts w:ascii="Times New Roman" w:hAnsi="Times New Roman"/>
                <w:sz w:val="15"/>
              </w:rPr>
              <w:t>Calm 2013-2015</w:t>
            </w:r>
          </w:p>
        </w:tc>
        <w:tc>
          <w:tcPr>
            <w:tcW w:type="dxa" w:w="1872"/>
          </w:tcPr>
          <w:p>
            <w:pPr>
              <w:spacing w:after="20" w:line="252" w:lineRule="auto"/>
              <w:jc w:val="left"/>
            </w:pPr>
            <w:r/>
            <w:r>
              <w:rPr>
                <w:rFonts w:ascii="Times New Roman" w:hAnsi="Times New Roman"/>
                <w:sz w:val="15"/>
              </w:rPr>
              <w:t>SPY 2013-01-01 → 2015-12-31</w:t>
            </w:r>
          </w:p>
        </w:tc>
        <w:tc>
          <w:tcPr>
            <w:tcW w:type="dxa" w:w="576"/>
          </w:tcPr>
          <w:p>
            <w:pPr>
              <w:spacing w:after="20" w:line="252" w:lineRule="auto"/>
              <w:jc w:val="center"/>
            </w:pPr>
            <w:r/>
            <w:r>
              <w:rPr>
                <w:rFonts w:ascii="Times New Roman" w:hAnsi="Times New Roman"/>
                <w:sz w:val="15"/>
              </w:rPr>
              <w:t>756</w:t>
            </w:r>
          </w:p>
        </w:tc>
        <w:tc>
          <w:tcPr>
            <w:tcW w:type="dxa" w:w="1368"/>
          </w:tcPr>
          <w:p>
            <w:pPr>
              <w:spacing w:after="20" w:line="252" w:lineRule="auto"/>
              <w:jc w:val="center"/>
            </w:pPr>
            <w:r/>
            <w:r>
              <w:rPr>
                <w:rFonts w:ascii="Times New Roman" w:hAnsi="Times New Roman"/>
                <w:sz w:val="15"/>
              </w:rPr>
              <w:t>normal (66%)</w:t>
            </w:r>
          </w:p>
        </w:tc>
        <w:tc>
          <w:tcPr>
            <w:tcW w:type="dxa" w:w="864"/>
          </w:tcPr>
          <w:p>
            <w:pPr>
              <w:spacing w:after="20" w:line="252" w:lineRule="auto"/>
              <w:jc w:val="center"/>
            </w:pPr>
            <w:r/>
            <w:r>
              <w:rPr>
                <w:rFonts w:ascii="Times New Roman" w:hAnsi="Times New Roman"/>
                <w:sz w:val="15"/>
              </w:rPr>
              <w:t>14.0%</w:t>
            </w:r>
          </w:p>
        </w:tc>
        <w:tc>
          <w:tcPr>
            <w:tcW w:type="dxa" w:w="792"/>
          </w:tcPr>
          <w:p>
            <w:pPr>
              <w:spacing w:after="20" w:line="252" w:lineRule="auto"/>
              <w:jc w:val="center"/>
            </w:pPr>
            <w:r/>
            <w:r>
              <w:rPr>
                <w:rFonts w:ascii="Times New Roman" w:hAnsi="Times New Roman"/>
                <w:sz w:val="15"/>
              </w:rPr>
              <w:t>-11.9%</w:t>
            </w:r>
          </w:p>
        </w:tc>
        <w:tc>
          <w:tcPr>
            <w:tcW w:type="dxa" w:w="1224"/>
          </w:tcPr>
          <w:p>
            <w:pPr>
              <w:spacing w:after="20" w:line="252" w:lineRule="auto"/>
              <w:jc w:val="center"/>
            </w:pPr>
            <w:r/>
            <w:r>
              <w:rPr>
                <w:rFonts w:ascii="Times New Roman" w:hAnsi="Times New Roman"/>
                <w:sz w:val="15"/>
              </w:rPr>
              <w:t>57%/37%/6%</w:t>
            </w:r>
          </w:p>
        </w:tc>
        <w:tc>
          <w:tcPr>
            <w:tcW w:type="dxa" w:w="936"/>
          </w:tcPr>
          <w:p>
            <w:pPr>
              <w:spacing w:after="20" w:line="252" w:lineRule="auto"/>
              <w:jc w:val="center"/>
            </w:pPr>
            <w:r/>
            <w:r>
              <w:rPr>
                <w:rFonts w:ascii="Times New Roman" w:hAnsi="Times New Roman"/>
                <w:sz w:val="15"/>
              </w:rPr>
              <w:t>0.3%</w:t>
            </w:r>
          </w:p>
        </w:tc>
      </w:tr>
      <w:tr>
        <w:tc>
          <w:tcPr>
            <w:tcW w:type="dxa" w:w="1440"/>
            <w:tcBorders>
              <w:bottom w:val="single" w:sz="10" w:color="000000"/>
            </w:tcBorders>
          </w:tcPr>
          <w:p>
            <w:pPr>
              <w:spacing w:after="20" w:line="252" w:lineRule="auto"/>
              <w:jc w:val="left"/>
            </w:pPr>
            <w:r/>
            <w:r>
              <w:rPr>
                <w:rFonts w:ascii="Times New Roman" w:hAnsi="Times New Roman"/>
                <w:sz w:val="15"/>
              </w:rPr>
              <w:t>Recent 2026 window</w:t>
            </w:r>
          </w:p>
        </w:tc>
        <w:tc>
          <w:tcPr>
            <w:tcW w:type="dxa" w:w="1872"/>
            <w:tcBorders>
              <w:bottom w:val="single" w:sz="10" w:color="000000"/>
            </w:tcBorders>
          </w:tcPr>
          <w:p>
            <w:pPr>
              <w:spacing w:after="20" w:line="252" w:lineRule="auto"/>
              <w:jc w:val="left"/>
            </w:pPr>
            <w:r/>
            <w:r>
              <w:rPr>
                <w:rFonts w:ascii="Times New Roman" w:hAnsi="Times New Roman"/>
                <w:sz w:val="15"/>
              </w:rPr>
              <w:t>SPY 2026-03-01 → 2026-10-05</w:t>
            </w:r>
          </w:p>
        </w:tc>
        <w:tc>
          <w:tcPr>
            <w:tcW w:type="dxa" w:w="576"/>
            <w:tcBorders>
              <w:bottom w:val="single" w:sz="10" w:color="000000"/>
            </w:tcBorders>
          </w:tcPr>
          <w:p>
            <w:pPr>
              <w:spacing w:after="20" w:line="252" w:lineRule="auto"/>
              <w:jc w:val="center"/>
            </w:pPr>
            <w:r/>
            <w:r>
              <w:rPr>
                <w:rFonts w:ascii="Times New Roman" w:hAnsi="Times New Roman"/>
                <w:sz w:val="15"/>
              </w:rPr>
              <w:t>151</w:t>
            </w:r>
          </w:p>
        </w:tc>
        <w:tc>
          <w:tcPr>
            <w:tcW w:type="dxa" w:w="1368"/>
            <w:tcBorders>
              <w:bottom w:val="single" w:sz="10" w:color="000000"/>
            </w:tcBorders>
          </w:tcPr>
          <w:p>
            <w:pPr>
              <w:spacing w:after="20" w:line="252" w:lineRule="auto"/>
              <w:jc w:val="center"/>
            </w:pPr>
            <w:r/>
            <w:r>
              <w:rPr>
                <w:rFonts w:ascii="Times New Roman" w:hAnsi="Times New Roman"/>
                <w:sz w:val="15"/>
              </w:rPr>
              <w:t>normal (77%)</w:t>
            </w:r>
          </w:p>
        </w:tc>
        <w:tc>
          <w:tcPr>
            <w:tcW w:type="dxa" w:w="864"/>
            <w:tcBorders>
              <w:bottom w:val="single" w:sz="10" w:color="000000"/>
            </w:tcBorders>
          </w:tcPr>
          <w:p>
            <w:pPr>
              <w:spacing w:after="20" w:line="252" w:lineRule="auto"/>
              <w:jc w:val="center"/>
            </w:pPr>
            <w:r/>
            <w:r>
              <w:rPr>
                <w:rFonts w:ascii="Times New Roman" w:hAnsi="Times New Roman"/>
                <w:sz w:val="15"/>
              </w:rPr>
              <w:t>23.5%</w:t>
            </w:r>
          </w:p>
        </w:tc>
        <w:tc>
          <w:tcPr>
            <w:tcW w:type="dxa" w:w="792"/>
            <w:tcBorders>
              <w:bottom w:val="single" w:sz="10" w:color="000000"/>
            </w:tcBorders>
          </w:tcPr>
          <w:p>
            <w:pPr>
              <w:spacing w:after="20" w:line="252" w:lineRule="auto"/>
              <w:jc w:val="center"/>
            </w:pPr>
            <w:r/>
            <w:r>
              <w:rPr>
                <w:rFonts w:ascii="Times New Roman" w:hAnsi="Times New Roman"/>
                <w:sz w:val="15"/>
              </w:rPr>
              <w:t>-7.7%</w:t>
            </w:r>
          </w:p>
        </w:tc>
        <w:tc>
          <w:tcPr>
            <w:tcW w:type="dxa" w:w="1224"/>
            <w:tcBorders>
              <w:bottom w:val="single" w:sz="10" w:color="000000"/>
            </w:tcBorders>
          </w:tcPr>
          <w:p>
            <w:pPr>
              <w:spacing w:after="20" w:line="252" w:lineRule="auto"/>
              <w:jc w:val="center"/>
            </w:pPr>
            <w:r/>
            <w:r>
              <w:rPr>
                <w:rFonts w:ascii="Times New Roman" w:hAnsi="Times New Roman"/>
                <w:sz w:val="15"/>
              </w:rPr>
              <w:t>68%/17%/15%</w:t>
            </w:r>
          </w:p>
        </w:tc>
        <w:tc>
          <w:tcPr>
            <w:tcW w:type="dxa" w:w="936"/>
            <w:tcBorders>
              <w:bottom w:val="single" w:sz="10" w:color="000000"/>
            </w:tcBorders>
          </w:tcPr>
          <w:p>
            <w:pPr>
              <w:spacing w:after="20" w:line="252" w:lineRule="auto"/>
              <w:jc w:val="center"/>
            </w:pPr>
            <w:r/>
            <w:r>
              <w:rPr>
                <w:rFonts w:ascii="Times New Roman" w:hAnsi="Times New Roman"/>
                <w:sz w:val="15"/>
              </w:rPr>
              <w:t>0.9%</w:t>
            </w:r>
          </w:p>
        </w:tc>
      </w:tr>
    </w:tbl>
    <w:p>
      <w:pPr>
        <w:spacing w:after="80"/>
      </w:pPr>
    </w:p>
    <w:p>
      <w:pPr>
        <w:keepNext/>
        <w:spacing w:after="60"/>
        <w:jc w:val="center"/>
      </w:pPr>
      <w:r>
        <w:drawing>
          <wp:inline xmlns:a="http://schemas.openxmlformats.org/drawingml/2006/main" xmlns:pic="http://schemas.openxmlformats.org/drawingml/2006/picture">
            <wp:extent cx="5669280" cy="3524147"/>
            <wp:docPr id="17" name="Picture 17"/>
            <wp:cNvGraphicFramePr>
              <a:graphicFrameLocks noChangeAspect="1"/>
            </wp:cNvGraphicFramePr>
            <a:graphic>
              <a:graphicData uri="http://schemas.openxmlformats.org/drawingml/2006/picture">
                <pic:pic>
                  <pic:nvPicPr>
                    <pic:cNvPr id="0" name="fig_overlays.png"/>
                    <pic:cNvPicPr/>
                  </pic:nvPicPr>
                  <pic:blipFill>
                    <a:blip r:embed="rId26"/>
                    <a:stretch>
                      <a:fillRect/>
                    </a:stretch>
                  </pic:blipFill>
                  <pic:spPr>
                    <a:xfrm>
                      <a:off x="0" y="0"/>
                      <a:ext cx="5669280" cy="3524147"/>
                    </a:xfrm>
                    <a:prstGeom prst="rect"/>
                  </pic:spPr>
                </pic:pic>
              </a:graphicData>
            </a:graphic>
          </wp:inline>
        </w:drawing>
      </w:r>
    </w:p>
    <w:p>
      <w:pPr>
        <w:spacing w:after="200"/>
        <w:jc w:val="both"/>
      </w:pPr>
      <w:r>
        <w:rPr>
          <w:rFonts w:ascii="Times New Roman" w:hAnsi="Times New Roman"/>
          <w:b/>
          <w:sz w:val="19"/>
        </w:rPr>
        <w:t xml:space="preserve">Fig. 6. </w:t>
      </w:r>
      <w:r>
        <w:rPr>
          <w:rFonts w:ascii="Times New Roman" w:hAnsi="Times New Roman"/>
          <w:sz w:val="19"/>
        </w:rPr>
        <w:t>Overlay of each query’s normalised cumulative-return path (solid) and the path of its nearest same-label reference window (dashed), as shown in the dashboard’s comparison report.</w:t>
      </w:r>
    </w:p>
    <w:p>
      <w:pPr>
        <w:keepNext w:val="0"/>
        <w:spacing w:after="120"/>
        <w:jc w:val="both"/>
      </w:pPr>
      <w:r>
        <w:rPr>
          <w:rFonts w:ascii="Times New Roman" w:hAnsi="Times New Roman"/>
          <w:b/>
        </w:rPr>
        <w:t>Embedding space.</w:t>
      </w:r>
      <w:r>
        <w:rPr>
          <w:rFonts w:ascii="Times New Roman" w:hAnsi="Times New Roman"/>
        </w:rPr>
        <w:t xml:space="preserve"> Fig. 7 projects the 16-dimensional embeddings. Normal windows form the dense bulk, whereas event windows occupy a visibly separate but overlapping region in which dot-com, GFC and COVID-19 windows are intermingled, consistent with the observation that crash-then-recovery shapes are intrinsically similar across crises.</w:t>
      </w:r>
    </w:p>
    <w:p>
      <w:pPr>
        <w:keepNext/>
        <w:spacing w:after="60"/>
        <w:jc w:val="center"/>
      </w:pPr>
      <w:r>
        <w:drawing>
          <wp:inline xmlns:a="http://schemas.openxmlformats.org/drawingml/2006/main" xmlns:pic="http://schemas.openxmlformats.org/drawingml/2006/picture">
            <wp:extent cx="5486400" cy="2520778"/>
            <wp:docPr id="18" name="Picture 18"/>
            <wp:cNvGraphicFramePr>
              <a:graphicFrameLocks noChangeAspect="1"/>
            </wp:cNvGraphicFramePr>
            <a:graphic>
              <a:graphicData uri="http://schemas.openxmlformats.org/drawingml/2006/picture">
                <pic:pic>
                  <pic:nvPicPr>
                    <pic:cNvPr id="0" name="fig_embedding.png"/>
                    <pic:cNvPicPr/>
                  </pic:nvPicPr>
                  <pic:blipFill>
                    <a:blip r:embed="rId27"/>
                    <a:stretch>
                      <a:fillRect/>
                    </a:stretch>
                  </pic:blipFill>
                  <pic:spPr>
                    <a:xfrm>
                      <a:off x="0" y="0"/>
                      <a:ext cx="5486400" cy="2520778"/>
                    </a:xfrm>
                    <a:prstGeom prst="rect"/>
                  </pic:spPr>
                </pic:pic>
              </a:graphicData>
            </a:graphic>
          </wp:inline>
        </w:drawing>
      </w:r>
    </w:p>
    <w:p>
      <w:pPr>
        <w:spacing w:after="200"/>
        <w:jc w:val="both"/>
      </w:pPr>
      <w:r>
        <w:rPr>
          <w:rFonts w:ascii="Times New Roman" w:hAnsi="Times New Roman"/>
          <w:b/>
          <w:sz w:val="19"/>
        </w:rPr>
        <w:t xml:space="preserve">Fig. 7. </w:t>
      </w:r>
      <w:r>
        <w:rPr>
          <w:rFonts w:ascii="Times New Roman" w:hAnsi="Times New Roman"/>
          <w:sz w:val="19"/>
        </w:rPr>
        <w:t>Corpus embeddings coloured by label: (a) PCA and (b) t-SNE projections of the 965 16-dimensional vectors.</w:t>
      </w:r>
    </w:p>
    <w:p>
      <w:pPr>
        <w:keepNext w:val="0"/>
        <w:spacing w:after="120"/>
        <w:jc w:val="both"/>
      </w:pPr>
      <w:r>
        <w:rPr>
          <w:rFonts w:ascii="Times New Roman" w:hAnsi="Times New Roman"/>
          <w:b/>
        </w:rPr>
        <w:t>Leakage-controlled evaluation.</w:t>
      </w:r>
      <w:r>
        <w:rPr>
          <w:rFonts w:ascii="Times New Roman" w:hAnsi="Times New Roman"/>
        </w:rPr>
        <w:t xml:space="preserve"> Table 6 reports blocked, purged cross-validation. All variants reach about 75–76% accuracy, but this is almost entirely the normal class (recall 99%); balanced accuracy is only 0.39 (chance 0.25) for the trained Transformer. Dot-com windows are recovered in 54% of cases, whereas GFC and COVID-19 windows are almost never identified (recall 2% and 0%); the confusion matrix (Fig. 9) shows that they are mostly assigned to dot-com or normal. Held-out </w:t>
      </w:r>
      <w:r>
        <w:rPr>
          <w:rFonts w:ascii="Times New Roman" w:hAnsi="Times New Roman"/>
          <w:i/>
        </w:rPr>
        <w:t>crisis versus normal</w:t>
      </w:r>
      <w:r>
        <w:rPr>
          <w:rFonts w:ascii="Times New Roman" w:hAnsi="Times New Roman"/>
        </w:rPr>
        <w:t xml:space="preserve"> discrimination is better: 49% of event windows are predicted as some crisis, with a false-alarm rate of 1.0%. Thus, across unseen time blocks the representation captures “crisis-like” but not “which crisis”.</w:t>
      </w:r>
    </w:p>
    <w:p>
      <w:pPr>
        <w:keepNext/>
        <w:spacing w:after="60" w:before="160"/>
      </w:pPr>
      <w:r>
        <w:rPr>
          <w:rFonts w:ascii="Times New Roman" w:hAnsi="Times New Roman"/>
          <w:b/>
          <w:sz w:val="19"/>
        </w:rPr>
        <w:t xml:space="preserve">Table 6. </w:t>
      </w:r>
      <w:r>
        <w:rPr>
          <w:rFonts w:ascii="Times New Roman" w:hAnsi="Times New Roman"/>
          <w:sz w:val="19"/>
        </w:rPr>
        <w:t>Blocked, purged 5-fold cross-validation of event identification (four classes). Mean ± s.d. over three encoder seeds for the two Transformer variants; the other variants are deterministic. Chance balanced accuracy is 0.25.</w:t>
      </w:r>
    </w:p>
    <w:tbl>
      <w:tblPr>
        <w:tblW w:type="auto" w:w="0"/>
        <w:jc w:val="center"/>
        <w:tblLayout w:type="fixed"/>
        <w:tblLook w:firstColumn="1" w:firstRow="1" w:lastColumn="0" w:lastRow="0" w:noHBand="0" w:noVBand="1" w:val="04A0"/>
      </w:tblPr>
      <w:tblGrid>
        <w:gridCol w:w="1290"/>
        <w:gridCol w:w="1290"/>
        <w:gridCol w:w="1290"/>
        <w:gridCol w:w="1290"/>
        <w:gridCol w:w="1290"/>
        <w:gridCol w:w="1290"/>
        <w:gridCol w:w="1290"/>
      </w:tblGrid>
      <w:tr>
        <w:tc>
          <w:tcPr>
            <w:tcW w:type="dxa" w:w="2304"/>
            <w:tcBorders>
              <w:top w:val="single" w:sz="10" w:color="000000"/>
              <w:bottom w:val="single" w:sz="6" w:color="000000"/>
            </w:tcBorders>
          </w:tcPr>
          <w:p>
            <w:pPr>
              <w:spacing w:after="20"/>
              <w:jc w:val="left"/>
            </w:pPr>
            <w:r/>
            <w:r>
              <w:rPr>
                <w:rFonts w:ascii="Times New Roman" w:hAnsi="Times New Roman"/>
                <w:b/>
                <w:sz w:val="15"/>
              </w:rPr>
              <w:t>Features (8-NN)</w:t>
            </w:r>
          </w:p>
        </w:tc>
        <w:tc>
          <w:tcPr>
            <w:tcW w:type="dxa" w:w="1224"/>
            <w:tcBorders>
              <w:top w:val="single" w:sz="10" w:color="000000"/>
              <w:bottom w:val="single" w:sz="6" w:color="000000"/>
            </w:tcBorders>
          </w:tcPr>
          <w:p>
            <w:pPr>
              <w:spacing w:after="20"/>
              <w:jc w:val="center"/>
            </w:pPr>
            <w:r/>
            <w:r>
              <w:rPr>
                <w:rFonts w:ascii="Times New Roman" w:hAnsi="Times New Roman"/>
                <w:b/>
                <w:sz w:val="15"/>
              </w:rPr>
              <w:t>Balanced acc.</w:t>
            </w:r>
          </w:p>
        </w:tc>
        <w:tc>
          <w:tcPr>
            <w:tcW w:type="dxa" w:w="1224"/>
            <w:tcBorders>
              <w:top w:val="single" w:sz="10" w:color="000000"/>
              <w:bottom w:val="single" w:sz="6" w:color="000000"/>
            </w:tcBorders>
          </w:tcPr>
          <w:p>
            <w:pPr>
              <w:spacing w:after="20"/>
              <w:jc w:val="center"/>
            </w:pPr>
            <w:r/>
            <w:r>
              <w:rPr>
                <w:rFonts w:ascii="Times New Roman" w:hAnsi="Times New Roman"/>
                <w:b/>
                <w:sz w:val="15"/>
              </w:rPr>
              <w:t>Macro-F1</w:t>
            </w:r>
          </w:p>
        </w:tc>
        <w:tc>
          <w:tcPr>
            <w:tcW w:type="dxa" w:w="864"/>
            <w:tcBorders>
              <w:top w:val="single" w:sz="10" w:color="000000"/>
              <w:bottom w:val="single" w:sz="6" w:color="000000"/>
            </w:tcBorders>
          </w:tcPr>
          <w:p>
            <w:pPr>
              <w:spacing w:after="20"/>
              <w:jc w:val="center"/>
            </w:pPr>
            <w:r/>
            <w:r>
              <w:rPr>
                <w:rFonts w:ascii="Times New Roman" w:hAnsi="Times New Roman"/>
                <w:b/>
                <w:sz w:val="15"/>
              </w:rPr>
              <w:t>Accuracy</w:t>
            </w:r>
          </w:p>
        </w:tc>
        <w:tc>
          <w:tcPr>
            <w:tcW w:type="dxa" w:w="864"/>
            <w:tcBorders>
              <w:top w:val="single" w:sz="10" w:color="000000"/>
              <w:bottom w:val="single" w:sz="6" w:color="000000"/>
            </w:tcBorders>
          </w:tcPr>
          <w:p>
            <w:pPr>
              <w:spacing w:after="20"/>
              <w:jc w:val="center"/>
            </w:pPr>
            <w:r/>
            <w:r>
              <w:rPr>
                <w:rFonts w:ascii="Times New Roman" w:hAnsi="Times New Roman"/>
                <w:b/>
                <w:sz w:val="15"/>
              </w:rPr>
              <w:t>Crisis recall</w:t>
            </w:r>
          </w:p>
        </w:tc>
        <w:tc>
          <w:tcPr>
            <w:tcW w:type="dxa" w:w="864"/>
            <w:tcBorders>
              <w:top w:val="single" w:sz="10" w:color="000000"/>
              <w:bottom w:val="single" w:sz="6" w:color="000000"/>
            </w:tcBorders>
          </w:tcPr>
          <w:p>
            <w:pPr>
              <w:spacing w:after="20"/>
              <w:jc w:val="center"/>
            </w:pPr>
            <w:r/>
            <w:r>
              <w:rPr>
                <w:rFonts w:ascii="Times New Roman" w:hAnsi="Times New Roman"/>
                <w:b/>
                <w:sz w:val="15"/>
              </w:rPr>
              <w:t>False alarm</w:t>
            </w:r>
          </w:p>
        </w:tc>
        <w:tc>
          <w:tcPr>
            <w:tcW w:type="dxa" w:w="2016"/>
            <w:tcBorders>
              <w:top w:val="single" w:sz="10" w:color="000000"/>
              <w:bottom w:val="single" w:sz="6" w:color="000000"/>
            </w:tcBorders>
          </w:tcPr>
          <w:p>
            <w:pPr>
              <w:spacing w:after="20"/>
              <w:jc w:val="center"/>
            </w:pPr>
            <w:r/>
            <w:r>
              <w:rPr>
                <w:rFonts w:ascii="Times New Roman" w:hAnsi="Times New Roman"/>
                <w:b/>
                <w:sz w:val="15"/>
              </w:rPr>
              <w:t>Recall dot-com / GFC / COVID / normal</w:t>
            </w:r>
          </w:p>
        </w:tc>
      </w:tr>
      <w:tr>
        <w:tc>
          <w:tcPr>
            <w:tcW w:type="dxa" w:w="2304"/>
          </w:tcPr>
          <w:p>
            <w:pPr>
              <w:spacing w:after="20" w:line="252" w:lineRule="auto"/>
              <w:jc w:val="left"/>
            </w:pPr>
            <w:r/>
            <w:r>
              <w:rPr>
                <w:rFonts w:ascii="Times New Roman" w:hAnsi="Times New Roman"/>
                <w:b/>
                <w:sz w:val="15"/>
              </w:rPr>
              <w:t>Transformer (trained)</w:t>
            </w:r>
          </w:p>
        </w:tc>
        <w:tc>
          <w:tcPr>
            <w:tcW w:type="dxa" w:w="1224"/>
          </w:tcPr>
          <w:p>
            <w:pPr>
              <w:spacing w:after="20" w:line="252" w:lineRule="auto"/>
              <w:jc w:val="center"/>
            </w:pPr>
            <w:r/>
            <w:r>
              <w:rPr>
                <w:rFonts w:ascii="Times New Roman" w:hAnsi="Times New Roman"/>
                <w:b/>
                <w:sz w:val="15"/>
              </w:rPr>
              <w:t>0.389 ± 0.006</w:t>
            </w:r>
          </w:p>
        </w:tc>
        <w:tc>
          <w:tcPr>
            <w:tcW w:type="dxa" w:w="1224"/>
          </w:tcPr>
          <w:p>
            <w:pPr>
              <w:spacing w:after="20" w:line="252" w:lineRule="auto"/>
              <w:jc w:val="center"/>
            </w:pPr>
            <w:r/>
            <w:r>
              <w:rPr>
                <w:rFonts w:ascii="Times New Roman" w:hAnsi="Times New Roman"/>
                <w:b/>
                <w:sz w:val="15"/>
              </w:rPr>
              <w:t>0.353 ± 0.005</w:t>
            </w:r>
          </w:p>
        </w:tc>
        <w:tc>
          <w:tcPr>
            <w:tcW w:type="dxa" w:w="864"/>
          </w:tcPr>
          <w:p>
            <w:pPr>
              <w:spacing w:after="20" w:line="252" w:lineRule="auto"/>
              <w:jc w:val="center"/>
            </w:pPr>
            <w:r/>
            <w:r>
              <w:rPr>
                <w:rFonts w:ascii="Times New Roman" w:hAnsi="Times New Roman"/>
                <w:b/>
                <w:sz w:val="15"/>
              </w:rPr>
              <w:t>75.8%</w:t>
            </w:r>
          </w:p>
        </w:tc>
        <w:tc>
          <w:tcPr>
            <w:tcW w:type="dxa" w:w="864"/>
          </w:tcPr>
          <w:p>
            <w:pPr>
              <w:spacing w:after="20" w:line="252" w:lineRule="auto"/>
              <w:jc w:val="center"/>
            </w:pPr>
            <w:r/>
            <w:r>
              <w:rPr>
                <w:rFonts w:ascii="Times New Roman" w:hAnsi="Times New Roman"/>
                <w:b/>
                <w:sz w:val="15"/>
              </w:rPr>
              <w:t>48.8%</w:t>
            </w:r>
          </w:p>
        </w:tc>
        <w:tc>
          <w:tcPr>
            <w:tcW w:type="dxa" w:w="864"/>
          </w:tcPr>
          <w:p>
            <w:pPr>
              <w:spacing w:after="20" w:line="252" w:lineRule="auto"/>
              <w:jc w:val="center"/>
            </w:pPr>
            <w:r/>
            <w:r>
              <w:rPr>
                <w:rFonts w:ascii="Times New Roman" w:hAnsi="Times New Roman"/>
                <w:b/>
                <w:sz w:val="15"/>
              </w:rPr>
              <w:t>1.0%</w:t>
            </w:r>
          </w:p>
        </w:tc>
        <w:tc>
          <w:tcPr>
            <w:tcW w:type="dxa" w:w="2016"/>
          </w:tcPr>
          <w:p>
            <w:pPr>
              <w:spacing w:after="20" w:line="252" w:lineRule="auto"/>
              <w:jc w:val="center"/>
            </w:pPr>
            <w:r/>
            <w:r>
              <w:rPr>
                <w:rFonts w:ascii="Times New Roman" w:hAnsi="Times New Roman"/>
                <w:b/>
                <w:sz w:val="15"/>
              </w:rPr>
              <w:t>54% / 2% / 0% / 99%</w:t>
            </w:r>
          </w:p>
        </w:tc>
      </w:tr>
      <w:tr>
        <w:tc>
          <w:tcPr>
            <w:tcW w:type="dxa" w:w="2304"/>
          </w:tcPr>
          <w:p>
            <w:pPr>
              <w:spacing w:after="20" w:line="252" w:lineRule="auto"/>
              <w:jc w:val="left"/>
            </w:pPr>
            <w:r/>
            <w:r>
              <w:rPr>
                <w:rFonts w:ascii="Times New Roman" w:hAnsi="Times New Roman"/>
                <w:sz w:val="15"/>
              </w:rPr>
              <w:t>Transformer (untrained)</w:t>
            </w:r>
          </w:p>
        </w:tc>
        <w:tc>
          <w:tcPr>
            <w:tcW w:type="dxa" w:w="1224"/>
          </w:tcPr>
          <w:p>
            <w:pPr>
              <w:spacing w:after="20" w:line="252" w:lineRule="auto"/>
              <w:jc w:val="center"/>
            </w:pPr>
            <w:r/>
            <w:r>
              <w:rPr>
                <w:rFonts w:ascii="Times New Roman" w:hAnsi="Times New Roman"/>
                <w:sz w:val="15"/>
              </w:rPr>
              <w:t>0.389 ± 0.009</w:t>
            </w:r>
          </w:p>
        </w:tc>
        <w:tc>
          <w:tcPr>
            <w:tcW w:type="dxa" w:w="1224"/>
          </w:tcPr>
          <w:p>
            <w:pPr>
              <w:spacing w:after="20" w:line="252" w:lineRule="auto"/>
              <w:jc w:val="center"/>
            </w:pPr>
            <w:r/>
            <w:r>
              <w:rPr>
                <w:rFonts w:ascii="Times New Roman" w:hAnsi="Times New Roman"/>
                <w:sz w:val="15"/>
              </w:rPr>
              <w:t>0.355 ± 0.005</w:t>
            </w:r>
          </w:p>
        </w:tc>
        <w:tc>
          <w:tcPr>
            <w:tcW w:type="dxa" w:w="864"/>
          </w:tcPr>
          <w:p>
            <w:pPr>
              <w:spacing w:after="20" w:line="252" w:lineRule="auto"/>
              <w:jc w:val="center"/>
            </w:pPr>
            <w:r/>
            <w:r>
              <w:rPr>
                <w:rFonts w:ascii="Times New Roman" w:hAnsi="Times New Roman"/>
                <w:sz w:val="15"/>
              </w:rPr>
              <w:t>75.9%</w:t>
            </w:r>
          </w:p>
        </w:tc>
        <w:tc>
          <w:tcPr>
            <w:tcW w:type="dxa" w:w="864"/>
          </w:tcPr>
          <w:p>
            <w:pPr>
              <w:spacing w:after="20" w:line="252" w:lineRule="auto"/>
              <w:jc w:val="center"/>
            </w:pPr>
            <w:r/>
            <w:r>
              <w:rPr>
                <w:rFonts w:ascii="Times New Roman" w:hAnsi="Times New Roman"/>
                <w:sz w:val="15"/>
              </w:rPr>
              <w:t>46.6%</w:t>
            </w:r>
          </w:p>
        </w:tc>
        <w:tc>
          <w:tcPr>
            <w:tcW w:type="dxa" w:w="864"/>
          </w:tcPr>
          <w:p>
            <w:pPr>
              <w:spacing w:after="20" w:line="252" w:lineRule="auto"/>
              <w:jc w:val="center"/>
            </w:pPr>
            <w:r/>
            <w:r>
              <w:rPr>
                <w:rFonts w:ascii="Times New Roman" w:hAnsi="Times New Roman"/>
                <w:sz w:val="15"/>
              </w:rPr>
              <w:t>0.9%</w:t>
            </w:r>
          </w:p>
        </w:tc>
        <w:tc>
          <w:tcPr>
            <w:tcW w:type="dxa" w:w="2016"/>
          </w:tcPr>
          <w:p>
            <w:pPr>
              <w:spacing w:after="20" w:line="252" w:lineRule="auto"/>
              <w:jc w:val="center"/>
            </w:pPr>
            <w:r/>
            <w:r>
              <w:rPr>
                <w:rFonts w:ascii="Times New Roman" w:hAnsi="Times New Roman"/>
                <w:sz w:val="15"/>
              </w:rPr>
              <w:t>54% / 2% / 0% / 99%</w:t>
            </w:r>
          </w:p>
        </w:tc>
      </w:tr>
      <w:tr>
        <w:tc>
          <w:tcPr>
            <w:tcW w:type="dxa" w:w="2304"/>
          </w:tcPr>
          <w:p>
            <w:pPr>
              <w:spacing w:after="20" w:line="252" w:lineRule="auto"/>
              <w:jc w:val="left"/>
            </w:pPr>
            <w:r/>
            <w:r>
              <w:rPr>
                <w:rFonts w:ascii="Times New Roman" w:hAnsi="Times New Roman"/>
                <w:sz w:val="15"/>
              </w:rPr>
              <w:t>Raw shape (120-d)</w:t>
            </w:r>
          </w:p>
        </w:tc>
        <w:tc>
          <w:tcPr>
            <w:tcW w:type="dxa" w:w="1224"/>
          </w:tcPr>
          <w:p>
            <w:pPr>
              <w:spacing w:after="20" w:line="252" w:lineRule="auto"/>
              <w:jc w:val="center"/>
            </w:pPr>
            <w:r/>
            <w:r>
              <w:rPr>
                <w:rFonts w:ascii="Times New Roman" w:hAnsi="Times New Roman"/>
                <w:sz w:val="15"/>
              </w:rPr>
              <w:t>0.367 ± 0.000</w:t>
            </w:r>
          </w:p>
        </w:tc>
        <w:tc>
          <w:tcPr>
            <w:tcW w:type="dxa" w:w="1224"/>
          </w:tcPr>
          <w:p>
            <w:pPr>
              <w:spacing w:after="20" w:line="252" w:lineRule="auto"/>
              <w:jc w:val="center"/>
            </w:pPr>
            <w:r/>
            <w:r>
              <w:rPr>
                <w:rFonts w:ascii="Times New Roman" w:hAnsi="Times New Roman"/>
                <w:sz w:val="15"/>
              </w:rPr>
              <w:t>0.339 ± 0.000</w:t>
            </w:r>
          </w:p>
        </w:tc>
        <w:tc>
          <w:tcPr>
            <w:tcW w:type="dxa" w:w="864"/>
          </w:tcPr>
          <w:p>
            <w:pPr>
              <w:spacing w:after="20" w:line="252" w:lineRule="auto"/>
              <w:jc w:val="center"/>
            </w:pPr>
            <w:r/>
            <w:r>
              <w:rPr>
                <w:rFonts w:ascii="Times New Roman" w:hAnsi="Times New Roman"/>
                <w:sz w:val="15"/>
              </w:rPr>
              <w:t>75.0%</w:t>
            </w:r>
          </w:p>
        </w:tc>
        <w:tc>
          <w:tcPr>
            <w:tcW w:type="dxa" w:w="864"/>
          </w:tcPr>
          <w:p>
            <w:pPr>
              <w:spacing w:after="20" w:line="252" w:lineRule="auto"/>
              <w:jc w:val="center"/>
            </w:pPr>
            <w:r/>
            <w:r>
              <w:rPr>
                <w:rFonts w:ascii="Times New Roman" w:hAnsi="Times New Roman"/>
                <w:sz w:val="15"/>
              </w:rPr>
              <w:t>42.7%</w:t>
            </w:r>
          </w:p>
        </w:tc>
        <w:tc>
          <w:tcPr>
            <w:tcW w:type="dxa" w:w="864"/>
          </w:tcPr>
          <w:p>
            <w:pPr>
              <w:spacing w:after="20" w:line="252" w:lineRule="auto"/>
              <w:jc w:val="center"/>
            </w:pPr>
            <w:r/>
            <w:r>
              <w:rPr>
                <w:rFonts w:ascii="Times New Roman" w:hAnsi="Times New Roman"/>
                <w:sz w:val="15"/>
              </w:rPr>
              <w:t>0.7%</w:t>
            </w:r>
          </w:p>
        </w:tc>
        <w:tc>
          <w:tcPr>
            <w:tcW w:type="dxa" w:w="2016"/>
          </w:tcPr>
          <w:p>
            <w:pPr>
              <w:spacing w:after="20" w:line="252" w:lineRule="auto"/>
              <w:jc w:val="center"/>
            </w:pPr>
            <w:r/>
            <w:r>
              <w:rPr>
                <w:rFonts w:ascii="Times New Roman" w:hAnsi="Times New Roman"/>
                <w:sz w:val="15"/>
              </w:rPr>
              <w:t>46% / 2% / 0% / 99%</w:t>
            </w:r>
          </w:p>
        </w:tc>
      </w:tr>
      <w:tr>
        <w:tc>
          <w:tcPr>
            <w:tcW w:type="dxa" w:w="2304"/>
          </w:tcPr>
          <w:p>
            <w:pPr>
              <w:spacing w:after="20" w:line="252" w:lineRule="auto"/>
              <w:jc w:val="left"/>
            </w:pPr>
            <w:r/>
            <w:r>
              <w:rPr>
                <w:rFonts w:ascii="Times New Roman" w:hAnsi="Times New Roman"/>
                <w:sz w:val="15"/>
              </w:rPr>
              <w:t>PCA-16 of raw shape</w:t>
            </w:r>
          </w:p>
        </w:tc>
        <w:tc>
          <w:tcPr>
            <w:tcW w:type="dxa" w:w="1224"/>
          </w:tcPr>
          <w:p>
            <w:pPr>
              <w:spacing w:after="20" w:line="252" w:lineRule="auto"/>
              <w:jc w:val="center"/>
            </w:pPr>
            <w:r/>
            <w:r>
              <w:rPr>
                <w:rFonts w:ascii="Times New Roman" w:hAnsi="Times New Roman"/>
                <w:sz w:val="15"/>
              </w:rPr>
              <w:t>0.372 ± 0.000</w:t>
            </w:r>
          </w:p>
        </w:tc>
        <w:tc>
          <w:tcPr>
            <w:tcW w:type="dxa" w:w="1224"/>
          </w:tcPr>
          <w:p>
            <w:pPr>
              <w:spacing w:after="20" w:line="252" w:lineRule="auto"/>
              <w:jc w:val="center"/>
            </w:pPr>
            <w:r/>
            <w:r>
              <w:rPr>
                <w:rFonts w:ascii="Times New Roman" w:hAnsi="Times New Roman"/>
                <w:sz w:val="15"/>
              </w:rPr>
              <w:t>0.342 ± 0.000</w:t>
            </w:r>
          </w:p>
        </w:tc>
        <w:tc>
          <w:tcPr>
            <w:tcW w:type="dxa" w:w="864"/>
          </w:tcPr>
          <w:p>
            <w:pPr>
              <w:spacing w:after="20" w:line="252" w:lineRule="auto"/>
              <w:jc w:val="center"/>
            </w:pPr>
            <w:r/>
            <w:r>
              <w:rPr>
                <w:rFonts w:ascii="Times New Roman" w:hAnsi="Times New Roman"/>
                <w:sz w:val="15"/>
              </w:rPr>
              <w:t>75.1%</w:t>
            </w:r>
          </w:p>
        </w:tc>
        <w:tc>
          <w:tcPr>
            <w:tcW w:type="dxa" w:w="864"/>
          </w:tcPr>
          <w:p>
            <w:pPr>
              <w:spacing w:after="20" w:line="252" w:lineRule="auto"/>
              <w:jc w:val="center"/>
            </w:pPr>
            <w:r/>
            <w:r>
              <w:rPr>
                <w:rFonts w:ascii="Times New Roman" w:hAnsi="Times New Roman"/>
                <w:sz w:val="15"/>
              </w:rPr>
              <w:t>44.1%</w:t>
            </w:r>
          </w:p>
        </w:tc>
        <w:tc>
          <w:tcPr>
            <w:tcW w:type="dxa" w:w="864"/>
          </w:tcPr>
          <w:p>
            <w:pPr>
              <w:spacing w:after="20" w:line="252" w:lineRule="auto"/>
              <w:jc w:val="center"/>
            </w:pPr>
            <w:r/>
            <w:r>
              <w:rPr>
                <w:rFonts w:ascii="Times New Roman" w:hAnsi="Times New Roman"/>
                <w:sz w:val="15"/>
              </w:rPr>
              <w:t>0.9%</w:t>
            </w:r>
          </w:p>
        </w:tc>
        <w:tc>
          <w:tcPr>
            <w:tcW w:type="dxa" w:w="2016"/>
          </w:tcPr>
          <w:p>
            <w:pPr>
              <w:spacing w:after="20" w:line="252" w:lineRule="auto"/>
              <w:jc w:val="center"/>
            </w:pPr>
            <w:r/>
            <w:r>
              <w:rPr>
                <w:rFonts w:ascii="Times New Roman" w:hAnsi="Times New Roman"/>
                <w:sz w:val="15"/>
              </w:rPr>
              <w:t>48% / 2% / 0% / 99%</w:t>
            </w:r>
          </w:p>
        </w:tc>
      </w:tr>
      <w:tr>
        <w:tc>
          <w:tcPr>
            <w:tcW w:type="dxa" w:w="2304"/>
            <w:tcBorders>
              <w:bottom w:val="single" w:sz="10" w:color="000000"/>
            </w:tcBorders>
          </w:tcPr>
          <w:p>
            <w:pPr>
              <w:spacing w:after="20" w:line="252" w:lineRule="auto"/>
              <w:jc w:val="left"/>
            </w:pPr>
            <w:r/>
            <w:r>
              <w:rPr>
                <w:rFonts w:ascii="Times New Roman" w:hAnsi="Times New Roman"/>
                <w:sz w:val="15"/>
              </w:rPr>
              <w:t>Summary statistics (7-d)</w:t>
            </w:r>
          </w:p>
        </w:tc>
        <w:tc>
          <w:tcPr>
            <w:tcW w:type="dxa" w:w="1224"/>
            <w:tcBorders>
              <w:bottom w:val="single" w:sz="10" w:color="000000"/>
            </w:tcBorders>
          </w:tcPr>
          <w:p>
            <w:pPr>
              <w:spacing w:after="20" w:line="252" w:lineRule="auto"/>
              <w:jc w:val="center"/>
            </w:pPr>
            <w:r/>
            <w:r>
              <w:rPr>
                <w:rFonts w:ascii="Times New Roman" w:hAnsi="Times New Roman"/>
                <w:sz w:val="15"/>
              </w:rPr>
              <w:t>0.378 ± 0.000</w:t>
            </w:r>
          </w:p>
        </w:tc>
        <w:tc>
          <w:tcPr>
            <w:tcW w:type="dxa" w:w="1224"/>
            <w:tcBorders>
              <w:bottom w:val="single" w:sz="10" w:color="000000"/>
            </w:tcBorders>
          </w:tcPr>
          <w:p>
            <w:pPr>
              <w:spacing w:after="20" w:line="252" w:lineRule="auto"/>
              <w:jc w:val="center"/>
            </w:pPr>
            <w:r/>
            <w:r>
              <w:rPr>
                <w:rFonts w:ascii="Times New Roman" w:hAnsi="Times New Roman"/>
                <w:sz w:val="15"/>
              </w:rPr>
              <w:t>0.339 ± 0.000</w:t>
            </w:r>
          </w:p>
        </w:tc>
        <w:tc>
          <w:tcPr>
            <w:tcW w:type="dxa" w:w="864"/>
            <w:tcBorders>
              <w:bottom w:val="single" w:sz="10" w:color="000000"/>
            </w:tcBorders>
          </w:tcPr>
          <w:p>
            <w:pPr>
              <w:spacing w:after="20" w:line="252" w:lineRule="auto"/>
              <w:jc w:val="center"/>
            </w:pPr>
            <w:r/>
            <w:r>
              <w:rPr>
                <w:rFonts w:ascii="Times New Roman" w:hAnsi="Times New Roman"/>
                <w:sz w:val="15"/>
              </w:rPr>
              <w:t>75.2%</w:t>
            </w:r>
          </w:p>
        </w:tc>
        <w:tc>
          <w:tcPr>
            <w:tcW w:type="dxa" w:w="864"/>
            <w:tcBorders>
              <w:bottom w:val="single" w:sz="10" w:color="000000"/>
            </w:tcBorders>
          </w:tcPr>
          <w:p>
            <w:pPr>
              <w:spacing w:after="20" w:line="252" w:lineRule="auto"/>
              <w:jc w:val="center"/>
            </w:pPr>
            <w:r/>
            <w:r>
              <w:rPr>
                <w:rFonts w:ascii="Times New Roman" w:hAnsi="Times New Roman"/>
                <w:sz w:val="15"/>
              </w:rPr>
              <w:t>51.7%</w:t>
            </w:r>
          </w:p>
        </w:tc>
        <w:tc>
          <w:tcPr>
            <w:tcW w:type="dxa" w:w="864"/>
            <w:tcBorders>
              <w:bottom w:val="single" w:sz="10" w:color="000000"/>
            </w:tcBorders>
          </w:tcPr>
          <w:p>
            <w:pPr>
              <w:spacing w:after="20" w:line="252" w:lineRule="auto"/>
              <w:jc w:val="center"/>
            </w:pPr>
            <w:r/>
            <w:r>
              <w:rPr>
                <w:rFonts w:ascii="Times New Roman" w:hAnsi="Times New Roman"/>
                <w:sz w:val="15"/>
              </w:rPr>
              <w:t>1.2%</w:t>
            </w:r>
          </w:p>
        </w:tc>
        <w:tc>
          <w:tcPr>
            <w:tcW w:type="dxa" w:w="2016"/>
            <w:tcBorders>
              <w:bottom w:val="single" w:sz="10" w:color="000000"/>
            </w:tcBorders>
          </w:tcPr>
          <w:p>
            <w:pPr>
              <w:spacing w:after="20" w:line="252" w:lineRule="auto"/>
              <w:jc w:val="center"/>
            </w:pPr>
            <w:r/>
            <w:r>
              <w:rPr>
                <w:rFonts w:ascii="Times New Roman" w:hAnsi="Times New Roman"/>
                <w:sz w:val="15"/>
              </w:rPr>
              <w:t>51% / 1% / 0% / 99%</w:t>
            </w:r>
          </w:p>
        </w:tc>
      </w:tr>
    </w:tbl>
    <w:p>
      <w:pPr>
        <w:spacing w:after="80"/>
      </w:pPr>
    </w:p>
    <w:p>
      <w:pPr>
        <w:keepNext/>
        <w:spacing w:after="60"/>
        <w:jc w:val="center"/>
      </w:pPr>
      <w:r>
        <w:drawing>
          <wp:inline xmlns:a="http://schemas.openxmlformats.org/drawingml/2006/main" xmlns:pic="http://schemas.openxmlformats.org/drawingml/2006/picture">
            <wp:extent cx="5486400" cy="2372497"/>
            <wp:docPr id="19" name="Picture 19"/>
            <wp:cNvGraphicFramePr>
              <a:graphicFrameLocks noChangeAspect="1"/>
            </wp:cNvGraphicFramePr>
            <a:graphic>
              <a:graphicData uri="http://schemas.openxmlformats.org/drawingml/2006/picture">
                <pic:pic>
                  <pic:nvPicPr>
                    <pic:cNvPr id="0" name="fig_cv_ablation.png"/>
                    <pic:cNvPicPr/>
                  </pic:nvPicPr>
                  <pic:blipFill>
                    <a:blip r:embed="rId28"/>
                    <a:stretch>
                      <a:fillRect/>
                    </a:stretch>
                  </pic:blipFill>
                  <pic:spPr>
                    <a:xfrm>
                      <a:off x="0" y="0"/>
                      <a:ext cx="5486400" cy="2372497"/>
                    </a:xfrm>
                    <a:prstGeom prst="rect"/>
                  </pic:spPr>
                </pic:pic>
              </a:graphicData>
            </a:graphic>
          </wp:inline>
        </w:drawing>
      </w:r>
    </w:p>
    <w:p>
      <w:pPr>
        <w:spacing w:after="200"/>
        <w:jc w:val="both"/>
      </w:pPr>
      <w:r>
        <w:rPr>
          <w:rFonts w:ascii="Times New Roman" w:hAnsi="Times New Roman"/>
          <w:b/>
          <w:sz w:val="19"/>
        </w:rPr>
        <w:t xml:space="preserve">Fig. 8. </w:t>
      </w:r>
      <w:r>
        <w:rPr>
          <w:rFonts w:ascii="Times New Roman" w:hAnsi="Times New Roman"/>
          <w:sz w:val="19"/>
        </w:rPr>
        <w:t>Embedding ablation under blocked cross-validation: (a) balanced accuracy and macro-F1 and (b) crisis recall and false-alarm rate for the five feature variants (error bars: s.d. over encoder seeds).</w:t>
      </w:r>
    </w:p>
    <w:p>
      <w:pPr>
        <w:keepNext/>
        <w:spacing w:after="60"/>
        <w:jc w:val="center"/>
      </w:pPr>
      <w:r>
        <w:drawing>
          <wp:inline xmlns:a="http://schemas.openxmlformats.org/drawingml/2006/main" xmlns:pic="http://schemas.openxmlformats.org/drawingml/2006/picture">
            <wp:extent cx="3108960" cy="2763520"/>
            <wp:docPr id="20" name="Picture 20"/>
            <wp:cNvGraphicFramePr>
              <a:graphicFrameLocks noChangeAspect="1"/>
            </wp:cNvGraphicFramePr>
            <a:graphic>
              <a:graphicData uri="http://schemas.openxmlformats.org/drawingml/2006/picture">
                <pic:pic>
                  <pic:nvPicPr>
                    <pic:cNvPr id="0" name="fig_confusion.png"/>
                    <pic:cNvPicPr/>
                  </pic:nvPicPr>
                  <pic:blipFill>
                    <a:blip r:embed="rId29"/>
                    <a:stretch>
                      <a:fillRect/>
                    </a:stretch>
                  </pic:blipFill>
                  <pic:spPr>
                    <a:xfrm>
                      <a:off x="0" y="0"/>
                      <a:ext cx="3108960" cy="2763520"/>
                    </a:xfrm>
                    <a:prstGeom prst="rect"/>
                  </pic:spPr>
                </pic:pic>
              </a:graphicData>
            </a:graphic>
          </wp:inline>
        </w:drawing>
      </w:r>
    </w:p>
    <w:p>
      <w:pPr>
        <w:spacing w:after="200"/>
        <w:jc w:val="both"/>
      </w:pPr>
      <w:r>
        <w:rPr>
          <w:rFonts w:ascii="Times New Roman" w:hAnsi="Times New Roman"/>
          <w:b/>
          <w:sz w:val="19"/>
        </w:rPr>
        <w:t xml:space="preserve">Fig. 9. </w:t>
      </w:r>
      <w:r>
        <w:rPr>
          <w:rFonts w:ascii="Times New Roman" w:hAnsi="Times New Roman"/>
          <w:sz w:val="19"/>
        </w:rPr>
        <w:t>Pooled confusion matrix of the trained-Transformer 8-NN classifier under blocked cross-validation (counts and row percentages).</w:t>
      </w:r>
    </w:p>
    <w:p>
      <w:pPr>
        <w:keepNext w:val="0"/>
        <w:spacing w:after="120"/>
        <w:jc w:val="both"/>
      </w:pPr>
      <w:r>
        <w:rPr>
          <w:rFonts w:ascii="Times New Roman" w:hAnsi="Times New Roman"/>
          <w:b/>
        </w:rPr>
        <w:t>Unseen crises.</w:t>
      </w:r>
      <w:r>
        <w:rPr>
          <w:rFonts w:ascii="Times New Roman" w:hAnsi="Times New Roman"/>
        </w:rPr>
        <w:t xml:space="preserve"> In leave-one-event-out tests (Table 7) the trained encoder predicted 90% of dot-com windows, 53% of GFC windows and 93% of COVID-19 windows as crisis-like although no window of that event was available for training. The GFC, a slow, grinding decline whose short sub-windows resemble ordinary periods, is hardest. The result supports using the tool to ask whether a period “looks like a crisis” in general.</w:t>
      </w:r>
    </w:p>
    <w:p>
      <w:pPr>
        <w:keepNext/>
        <w:spacing w:after="60" w:before="160"/>
      </w:pPr>
      <w:r>
        <w:rPr>
          <w:rFonts w:ascii="Times New Roman" w:hAnsi="Times New Roman"/>
          <w:b/>
          <w:sz w:val="19"/>
        </w:rPr>
        <w:t xml:space="preserve">Table 7. </w:t>
      </w:r>
      <w:r>
        <w:rPr>
          <w:rFonts w:ascii="Times New Roman" w:hAnsi="Times New Roman"/>
          <w:sz w:val="19"/>
        </w:rPr>
        <w:t>Leave-one-event-out: share of the unseen crisis’ windows predicted as crisis-like (any event class), by feature variant.</w:t>
      </w:r>
    </w:p>
    <w:tbl>
      <w:tblPr>
        <w:tblW w:type="auto" w:w="0"/>
        <w:jc w:val="center"/>
        <w:tblLayout w:type="fixed"/>
        <w:tblLook w:firstColumn="1" w:firstRow="1" w:lastColumn="0" w:lastRow="0" w:noHBand="0" w:noVBand="1" w:val="04A0"/>
      </w:tblPr>
      <w:tblGrid>
        <w:gridCol w:w="1129"/>
        <w:gridCol w:w="1129"/>
        <w:gridCol w:w="1129"/>
        <w:gridCol w:w="1129"/>
        <w:gridCol w:w="1129"/>
        <w:gridCol w:w="1129"/>
        <w:gridCol w:w="1129"/>
        <w:gridCol w:w="1129"/>
      </w:tblGrid>
      <w:tr>
        <w:tc>
          <w:tcPr>
            <w:tcW w:type="dxa" w:w="1368"/>
            <w:tcBorders>
              <w:top w:val="single" w:sz="10" w:color="000000"/>
              <w:bottom w:val="single" w:sz="6" w:color="000000"/>
            </w:tcBorders>
          </w:tcPr>
          <w:p>
            <w:pPr>
              <w:spacing w:after="20"/>
              <w:jc w:val="left"/>
            </w:pPr>
            <w:r/>
            <w:r>
              <w:rPr>
                <w:rFonts w:ascii="Times New Roman" w:hAnsi="Times New Roman"/>
                <w:b/>
                <w:sz w:val="15"/>
              </w:rPr>
              <w:t>Held-out event</w:t>
            </w:r>
          </w:p>
        </w:tc>
        <w:tc>
          <w:tcPr>
            <w:tcW w:type="dxa" w:w="576"/>
            <w:tcBorders>
              <w:top w:val="single" w:sz="10" w:color="000000"/>
              <w:bottom w:val="single" w:sz="6" w:color="000000"/>
            </w:tcBorders>
          </w:tcPr>
          <w:p>
            <w:pPr>
              <w:spacing w:after="20"/>
              <w:jc w:val="center"/>
            </w:pPr>
            <w:r/>
            <w:r>
              <w:rPr>
                <w:rFonts w:ascii="Times New Roman" w:hAnsi="Times New Roman"/>
                <w:b/>
                <w:sz w:val="15"/>
              </w:rPr>
              <w:t>Test</w:t>
            </w:r>
          </w:p>
        </w:tc>
        <w:tc>
          <w:tcPr>
            <w:tcW w:type="dxa" w:w="648"/>
            <w:tcBorders>
              <w:top w:val="single" w:sz="10" w:color="000000"/>
              <w:bottom w:val="single" w:sz="6" w:color="000000"/>
            </w:tcBorders>
          </w:tcPr>
          <w:p>
            <w:pPr>
              <w:spacing w:after="20"/>
              <w:jc w:val="center"/>
            </w:pPr>
            <w:r/>
            <w:r>
              <w:rPr>
                <w:rFonts w:ascii="Times New Roman" w:hAnsi="Times New Roman"/>
                <w:b/>
                <w:sz w:val="15"/>
              </w:rPr>
              <w:t>Train</w:t>
            </w:r>
          </w:p>
        </w:tc>
        <w:tc>
          <w:tcPr>
            <w:tcW w:type="dxa" w:w="1368"/>
            <w:tcBorders>
              <w:top w:val="single" w:sz="10" w:color="000000"/>
              <w:bottom w:val="single" w:sz="6" w:color="000000"/>
            </w:tcBorders>
          </w:tcPr>
          <w:p>
            <w:pPr>
              <w:spacing w:after="20"/>
              <w:jc w:val="center"/>
            </w:pPr>
            <w:r/>
            <w:r>
              <w:rPr>
                <w:rFonts w:ascii="Times New Roman" w:hAnsi="Times New Roman"/>
                <w:b/>
                <w:sz w:val="15"/>
              </w:rPr>
              <w:t>Transformer</w:t>
              <w:br/>
              <w:t>(trained)</w:t>
            </w:r>
          </w:p>
        </w:tc>
        <w:tc>
          <w:tcPr>
            <w:tcW w:type="dxa" w:w="1368"/>
            <w:tcBorders>
              <w:top w:val="single" w:sz="10" w:color="000000"/>
              <w:bottom w:val="single" w:sz="6" w:color="000000"/>
            </w:tcBorders>
          </w:tcPr>
          <w:p>
            <w:pPr>
              <w:spacing w:after="20"/>
              <w:jc w:val="center"/>
            </w:pPr>
            <w:r/>
            <w:r>
              <w:rPr>
                <w:rFonts w:ascii="Times New Roman" w:hAnsi="Times New Roman"/>
                <w:b/>
                <w:sz w:val="15"/>
              </w:rPr>
              <w:t>Transformer</w:t>
              <w:br/>
              <w:t>(untrained)</w:t>
            </w:r>
          </w:p>
        </w:tc>
        <w:tc>
          <w:tcPr>
            <w:tcW w:type="dxa" w:w="1224"/>
            <w:tcBorders>
              <w:top w:val="single" w:sz="10" w:color="000000"/>
              <w:bottom w:val="single" w:sz="6" w:color="000000"/>
            </w:tcBorders>
          </w:tcPr>
          <w:p>
            <w:pPr>
              <w:spacing w:after="20"/>
              <w:jc w:val="center"/>
            </w:pPr>
            <w:r/>
            <w:r>
              <w:rPr>
                <w:rFonts w:ascii="Times New Roman" w:hAnsi="Times New Roman"/>
                <w:b/>
                <w:sz w:val="15"/>
              </w:rPr>
              <w:t>Raw shape</w:t>
              <w:br/>
              <w:t>(120-d)</w:t>
            </w:r>
          </w:p>
        </w:tc>
        <w:tc>
          <w:tcPr>
            <w:tcW w:type="dxa" w:w="1224"/>
            <w:tcBorders>
              <w:top w:val="single" w:sz="10" w:color="000000"/>
              <w:bottom w:val="single" w:sz="6" w:color="000000"/>
            </w:tcBorders>
          </w:tcPr>
          <w:p>
            <w:pPr>
              <w:spacing w:after="20"/>
              <w:jc w:val="center"/>
            </w:pPr>
            <w:r/>
            <w:r>
              <w:rPr>
                <w:rFonts w:ascii="Times New Roman" w:hAnsi="Times New Roman"/>
                <w:b/>
                <w:sz w:val="15"/>
              </w:rPr>
              <w:t>PCA-16 of raw shape</w:t>
            </w:r>
          </w:p>
        </w:tc>
        <w:tc>
          <w:tcPr>
            <w:tcW w:type="dxa" w:w="1368"/>
            <w:tcBorders>
              <w:top w:val="single" w:sz="10" w:color="000000"/>
              <w:bottom w:val="single" w:sz="6" w:color="000000"/>
            </w:tcBorders>
          </w:tcPr>
          <w:p>
            <w:pPr>
              <w:spacing w:after="20"/>
              <w:jc w:val="center"/>
            </w:pPr>
            <w:r/>
            <w:r>
              <w:rPr>
                <w:rFonts w:ascii="Times New Roman" w:hAnsi="Times New Roman"/>
                <w:b/>
                <w:sz w:val="15"/>
              </w:rPr>
              <w:t>Summary statistics</w:t>
              <w:br/>
              <w:t>(7-d)</w:t>
            </w:r>
          </w:p>
        </w:tc>
      </w:tr>
      <w:tr>
        <w:tc>
          <w:tcPr>
            <w:tcW w:type="dxa" w:w="1368"/>
          </w:tcPr>
          <w:p>
            <w:pPr>
              <w:spacing w:after="20" w:line="252" w:lineRule="auto"/>
              <w:jc w:val="left"/>
            </w:pPr>
            <w:r/>
            <w:r>
              <w:rPr>
                <w:rFonts w:ascii="Times New Roman" w:hAnsi="Times New Roman"/>
                <w:sz w:val="15"/>
              </w:rPr>
              <w:t>Dot-com</w:t>
            </w:r>
          </w:p>
        </w:tc>
        <w:tc>
          <w:tcPr>
            <w:tcW w:type="dxa" w:w="576"/>
          </w:tcPr>
          <w:p>
            <w:pPr>
              <w:spacing w:after="20" w:line="252" w:lineRule="auto"/>
              <w:jc w:val="center"/>
            </w:pPr>
            <w:r/>
            <w:r>
              <w:rPr>
                <w:rFonts w:ascii="Times New Roman" w:hAnsi="Times New Roman"/>
                <w:sz w:val="15"/>
              </w:rPr>
              <w:t>105</w:t>
            </w:r>
          </w:p>
        </w:tc>
        <w:tc>
          <w:tcPr>
            <w:tcW w:type="dxa" w:w="648"/>
          </w:tcPr>
          <w:p>
            <w:pPr>
              <w:spacing w:after="20" w:line="252" w:lineRule="auto"/>
              <w:jc w:val="center"/>
            </w:pPr>
            <w:r/>
            <w:r>
              <w:rPr>
                <w:rFonts w:ascii="Times New Roman" w:hAnsi="Times New Roman"/>
                <w:sz w:val="15"/>
              </w:rPr>
              <w:t>808</w:t>
            </w:r>
          </w:p>
        </w:tc>
        <w:tc>
          <w:tcPr>
            <w:tcW w:type="dxa" w:w="1368"/>
          </w:tcPr>
          <w:p>
            <w:pPr>
              <w:spacing w:after="20" w:line="252" w:lineRule="auto"/>
              <w:jc w:val="center"/>
            </w:pPr>
            <w:r/>
            <w:r>
              <w:rPr>
                <w:rFonts w:ascii="Times New Roman" w:hAnsi="Times New Roman"/>
                <w:sz w:val="15"/>
              </w:rPr>
              <w:t>90%</w:t>
            </w:r>
          </w:p>
        </w:tc>
        <w:tc>
          <w:tcPr>
            <w:tcW w:type="dxa" w:w="1368"/>
          </w:tcPr>
          <w:p>
            <w:pPr>
              <w:spacing w:after="20" w:line="252" w:lineRule="auto"/>
              <w:jc w:val="center"/>
            </w:pPr>
            <w:r/>
            <w:r>
              <w:rPr>
                <w:rFonts w:ascii="Times New Roman" w:hAnsi="Times New Roman"/>
                <w:sz w:val="15"/>
              </w:rPr>
              <w:t>96%</w:t>
            </w:r>
          </w:p>
        </w:tc>
        <w:tc>
          <w:tcPr>
            <w:tcW w:type="dxa" w:w="1224"/>
          </w:tcPr>
          <w:p>
            <w:pPr>
              <w:spacing w:after="20" w:line="252" w:lineRule="auto"/>
              <w:jc w:val="center"/>
            </w:pPr>
            <w:r/>
            <w:r>
              <w:rPr>
                <w:rFonts w:ascii="Times New Roman" w:hAnsi="Times New Roman"/>
                <w:sz w:val="15"/>
              </w:rPr>
              <w:t>85%</w:t>
            </w:r>
          </w:p>
        </w:tc>
        <w:tc>
          <w:tcPr>
            <w:tcW w:type="dxa" w:w="1224"/>
          </w:tcPr>
          <w:p>
            <w:pPr>
              <w:spacing w:after="20" w:line="252" w:lineRule="auto"/>
              <w:jc w:val="center"/>
            </w:pPr>
            <w:r/>
            <w:r>
              <w:rPr>
                <w:rFonts w:ascii="Times New Roman" w:hAnsi="Times New Roman"/>
                <w:sz w:val="15"/>
              </w:rPr>
              <w:t>85%</w:t>
            </w:r>
          </w:p>
        </w:tc>
        <w:tc>
          <w:tcPr>
            <w:tcW w:type="dxa" w:w="1368"/>
          </w:tcPr>
          <w:p>
            <w:pPr>
              <w:spacing w:after="20" w:line="252" w:lineRule="auto"/>
              <w:jc w:val="center"/>
            </w:pPr>
            <w:r/>
            <w:r>
              <w:rPr>
                <w:rFonts w:ascii="Times New Roman" w:hAnsi="Times New Roman"/>
                <w:sz w:val="15"/>
              </w:rPr>
              <w:t>90%</w:t>
            </w:r>
          </w:p>
        </w:tc>
      </w:tr>
      <w:tr>
        <w:tc>
          <w:tcPr>
            <w:tcW w:type="dxa" w:w="1368"/>
          </w:tcPr>
          <w:p>
            <w:pPr>
              <w:spacing w:after="20" w:line="252" w:lineRule="auto"/>
              <w:jc w:val="left"/>
            </w:pPr>
            <w:r/>
            <w:r>
              <w:rPr>
                <w:rFonts w:ascii="Times New Roman" w:hAnsi="Times New Roman"/>
                <w:sz w:val="15"/>
              </w:rPr>
              <w:t>2008 GFC</w:t>
            </w:r>
          </w:p>
        </w:tc>
        <w:tc>
          <w:tcPr>
            <w:tcW w:type="dxa" w:w="576"/>
          </w:tcPr>
          <w:p>
            <w:pPr>
              <w:spacing w:after="20" w:line="252" w:lineRule="auto"/>
              <w:jc w:val="center"/>
            </w:pPr>
            <w:r/>
            <w:r>
              <w:rPr>
                <w:rFonts w:ascii="Times New Roman" w:hAnsi="Times New Roman"/>
                <w:sz w:val="15"/>
              </w:rPr>
              <w:t>101</w:t>
            </w:r>
          </w:p>
        </w:tc>
        <w:tc>
          <w:tcPr>
            <w:tcW w:type="dxa" w:w="648"/>
          </w:tcPr>
          <w:p>
            <w:pPr>
              <w:spacing w:after="20" w:line="252" w:lineRule="auto"/>
              <w:jc w:val="center"/>
            </w:pPr>
            <w:r/>
            <w:r>
              <w:rPr>
                <w:rFonts w:ascii="Times New Roman" w:hAnsi="Times New Roman"/>
                <w:sz w:val="15"/>
              </w:rPr>
              <w:t>799</w:t>
            </w:r>
          </w:p>
        </w:tc>
        <w:tc>
          <w:tcPr>
            <w:tcW w:type="dxa" w:w="1368"/>
          </w:tcPr>
          <w:p>
            <w:pPr>
              <w:spacing w:after="20" w:line="252" w:lineRule="auto"/>
              <w:jc w:val="center"/>
            </w:pPr>
            <w:r/>
            <w:r>
              <w:rPr>
                <w:rFonts w:ascii="Times New Roman" w:hAnsi="Times New Roman"/>
                <w:sz w:val="15"/>
              </w:rPr>
              <w:t>53%</w:t>
            </w:r>
          </w:p>
        </w:tc>
        <w:tc>
          <w:tcPr>
            <w:tcW w:type="dxa" w:w="1368"/>
          </w:tcPr>
          <w:p>
            <w:pPr>
              <w:spacing w:after="20" w:line="252" w:lineRule="auto"/>
              <w:jc w:val="center"/>
            </w:pPr>
            <w:r/>
            <w:r>
              <w:rPr>
                <w:rFonts w:ascii="Times New Roman" w:hAnsi="Times New Roman"/>
                <w:sz w:val="15"/>
              </w:rPr>
              <w:t>51%</w:t>
            </w:r>
          </w:p>
        </w:tc>
        <w:tc>
          <w:tcPr>
            <w:tcW w:type="dxa" w:w="1224"/>
          </w:tcPr>
          <w:p>
            <w:pPr>
              <w:spacing w:after="20" w:line="252" w:lineRule="auto"/>
              <w:jc w:val="center"/>
            </w:pPr>
            <w:r/>
            <w:r>
              <w:rPr>
                <w:rFonts w:ascii="Times New Roman" w:hAnsi="Times New Roman"/>
                <w:sz w:val="15"/>
              </w:rPr>
              <w:t>51%</w:t>
            </w:r>
          </w:p>
        </w:tc>
        <w:tc>
          <w:tcPr>
            <w:tcW w:type="dxa" w:w="1224"/>
          </w:tcPr>
          <w:p>
            <w:pPr>
              <w:spacing w:after="20" w:line="252" w:lineRule="auto"/>
              <w:jc w:val="center"/>
            </w:pPr>
            <w:r/>
            <w:r>
              <w:rPr>
                <w:rFonts w:ascii="Times New Roman" w:hAnsi="Times New Roman"/>
                <w:sz w:val="15"/>
              </w:rPr>
              <w:t>51%</w:t>
            </w:r>
          </w:p>
        </w:tc>
        <w:tc>
          <w:tcPr>
            <w:tcW w:type="dxa" w:w="1368"/>
          </w:tcPr>
          <w:p>
            <w:pPr>
              <w:spacing w:after="20" w:line="252" w:lineRule="auto"/>
              <w:jc w:val="center"/>
            </w:pPr>
            <w:r/>
            <w:r>
              <w:rPr>
                <w:rFonts w:ascii="Times New Roman" w:hAnsi="Times New Roman"/>
                <w:sz w:val="15"/>
              </w:rPr>
              <w:t>53%</w:t>
            </w:r>
          </w:p>
        </w:tc>
      </w:tr>
      <w:tr>
        <w:tc>
          <w:tcPr>
            <w:tcW w:type="dxa" w:w="1368"/>
            <w:tcBorders>
              <w:bottom w:val="single" w:sz="10" w:color="000000"/>
            </w:tcBorders>
          </w:tcPr>
          <w:p>
            <w:pPr>
              <w:spacing w:after="20" w:line="252" w:lineRule="auto"/>
              <w:jc w:val="left"/>
            </w:pPr>
            <w:r/>
            <w:r>
              <w:rPr>
                <w:rFonts w:ascii="Times New Roman" w:hAnsi="Times New Roman"/>
                <w:sz w:val="15"/>
              </w:rPr>
              <w:t>COVID-19</w:t>
            </w:r>
          </w:p>
        </w:tc>
        <w:tc>
          <w:tcPr>
            <w:tcW w:type="dxa" w:w="576"/>
            <w:tcBorders>
              <w:bottom w:val="single" w:sz="10" w:color="000000"/>
            </w:tcBorders>
          </w:tcPr>
          <w:p>
            <w:pPr>
              <w:spacing w:after="20" w:line="252" w:lineRule="auto"/>
              <w:jc w:val="center"/>
            </w:pPr>
            <w:r/>
            <w:r>
              <w:rPr>
                <w:rFonts w:ascii="Times New Roman" w:hAnsi="Times New Roman"/>
                <w:sz w:val="15"/>
              </w:rPr>
              <w:t>80</w:t>
            </w:r>
          </w:p>
        </w:tc>
        <w:tc>
          <w:tcPr>
            <w:tcW w:type="dxa" w:w="648"/>
            <w:tcBorders>
              <w:bottom w:val="single" w:sz="10" w:color="000000"/>
            </w:tcBorders>
          </w:tcPr>
          <w:p>
            <w:pPr>
              <w:spacing w:after="20" w:line="252" w:lineRule="auto"/>
              <w:jc w:val="center"/>
            </w:pPr>
            <w:r/>
            <w:r>
              <w:rPr>
                <w:rFonts w:ascii="Times New Roman" w:hAnsi="Times New Roman"/>
                <w:sz w:val="15"/>
              </w:rPr>
              <w:t>853</w:t>
            </w:r>
          </w:p>
        </w:tc>
        <w:tc>
          <w:tcPr>
            <w:tcW w:type="dxa" w:w="1368"/>
            <w:tcBorders>
              <w:bottom w:val="single" w:sz="10" w:color="000000"/>
            </w:tcBorders>
          </w:tcPr>
          <w:p>
            <w:pPr>
              <w:spacing w:after="20" w:line="252" w:lineRule="auto"/>
              <w:jc w:val="center"/>
            </w:pPr>
            <w:r/>
            <w:r>
              <w:rPr>
                <w:rFonts w:ascii="Times New Roman" w:hAnsi="Times New Roman"/>
                <w:sz w:val="15"/>
              </w:rPr>
              <w:t>93%</w:t>
            </w:r>
          </w:p>
        </w:tc>
        <w:tc>
          <w:tcPr>
            <w:tcW w:type="dxa" w:w="1368"/>
            <w:tcBorders>
              <w:bottom w:val="single" w:sz="10" w:color="000000"/>
            </w:tcBorders>
          </w:tcPr>
          <w:p>
            <w:pPr>
              <w:spacing w:after="20" w:line="252" w:lineRule="auto"/>
              <w:jc w:val="center"/>
            </w:pPr>
            <w:r/>
            <w:r>
              <w:rPr>
                <w:rFonts w:ascii="Times New Roman" w:hAnsi="Times New Roman"/>
                <w:sz w:val="15"/>
              </w:rPr>
              <w:t>82%</w:t>
            </w:r>
          </w:p>
        </w:tc>
        <w:tc>
          <w:tcPr>
            <w:tcW w:type="dxa" w:w="1224"/>
            <w:tcBorders>
              <w:bottom w:val="single" w:sz="10" w:color="000000"/>
            </w:tcBorders>
          </w:tcPr>
          <w:p>
            <w:pPr>
              <w:spacing w:after="20" w:line="252" w:lineRule="auto"/>
              <w:jc w:val="center"/>
            </w:pPr>
            <w:r/>
            <w:r>
              <w:rPr>
                <w:rFonts w:ascii="Times New Roman" w:hAnsi="Times New Roman"/>
                <w:sz w:val="15"/>
              </w:rPr>
              <w:t>82%</w:t>
            </w:r>
          </w:p>
        </w:tc>
        <w:tc>
          <w:tcPr>
            <w:tcW w:type="dxa" w:w="1224"/>
            <w:tcBorders>
              <w:bottom w:val="single" w:sz="10" w:color="000000"/>
            </w:tcBorders>
          </w:tcPr>
          <w:p>
            <w:pPr>
              <w:spacing w:after="20" w:line="252" w:lineRule="auto"/>
              <w:jc w:val="center"/>
            </w:pPr>
            <w:r/>
            <w:r>
              <w:rPr>
                <w:rFonts w:ascii="Times New Roman" w:hAnsi="Times New Roman"/>
                <w:sz w:val="15"/>
              </w:rPr>
              <w:t>88%</w:t>
            </w:r>
          </w:p>
        </w:tc>
        <w:tc>
          <w:tcPr>
            <w:tcW w:type="dxa" w:w="1368"/>
            <w:tcBorders>
              <w:bottom w:val="single" w:sz="10" w:color="000000"/>
            </w:tcBorders>
          </w:tcPr>
          <w:p>
            <w:pPr>
              <w:spacing w:after="20" w:line="252" w:lineRule="auto"/>
              <w:jc w:val="center"/>
            </w:pPr>
            <w:r/>
            <w:r>
              <w:rPr>
                <w:rFonts w:ascii="Times New Roman" w:hAnsi="Times New Roman"/>
                <w:sz w:val="15"/>
              </w:rPr>
              <w:t>96%</w:t>
            </w:r>
          </w:p>
        </w:tc>
      </w:tr>
    </w:tbl>
    <w:p>
      <w:pPr>
        <w:spacing w:after="80"/>
      </w:pPr>
    </w:p>
    <w:p>
      <w:pPr>
        <w:pStyle w:val="Heading3"/>
      </w:pPr>
      <w:r>
        <w:t>4.1.3 Walk-forward allocation backtests</w:t>
      </w:r>
    </w:p>
    <w:p>
      <w:pPr>
        <w:keepNext w:val="0"/>
        <w:spacing w:after="120"/>
        <w:jc w:val="both"/>
      </w:pPr>
      <w:r>
        <w:rPr>
          <w:rFonts w:ascii="Times New Roman" w:hAnsi="Times New Roman"/>
        </w:rPr>
        <w:t xml:space="preserve">Table 8 and Figs. 10–11 give the out-of-sample results. The picture is mixed and, importantly, depends on the experimental design. </w:t>
      </w:r>
      <w:r>
        <w:rPr>
          <w:rFonts w:ascii="Times New Roman" w:hAnsi="Times New Roman"/>
          <w:b/>
        </w:rPr>
        <w:t>Dot-com as deployed:</w:t>
      </w:r>
      <w:r>
        <w:rPr>
          <w:rFonts w:ascii="Times New Roman" w:hAnsi="Times New Roman"/>
        </w:rPr>
        <w:t xml:space="preserve"> the adaptive portfolio reaches a Sharpe ratio of 0.84 and a maximum drawdown of -15.2%, beating both baselines; but its weights are 100% gold (GC=F) at every one of 40 rebalances and its turnover is zero: the gold futures series starts in August 2000, after the crisis began, so the “pre-crisis” training segment is only 30 trading days and the policy collapses to a constant, buy-and-hold gold position (which happened to rise). </w:t>
      </w:r>
      <w:r>
        <w:rPr>
          <w:rFonts w:ascii="Times New Roman" w:hAnsi="Times New Roman"/>
          <w:b/>
        </w:rPr>
        <w:t>Dot-com corrected</w:t>
      </w:r>
      <w:r>
        <w:rPr>
          <w:rFonts w:ascii="Times New Roman" w:hAnsi="Times New Roman"/>
        </w:rPr>
        <w:t xml:space="preserve"> (SPY, QQQ, VUSTX; 196 genuine pre-crisis training days): the adaptive policy loses badly (Sharpe -0.43, maximum drawdown -73.2%), because a policy fitted to the bubble years concentrates in QQQ and flips between QQQ and bonds (Fig. 12). </w:t>
      </w:r>
      <w:r>
        <w:rPr>
          <w:rFonts w:ascii="Times New Roman" w:hAnsi="Times New Roman"/>
          <w:b/>
        </w:rPr>
        <w:t>2008 GFC:</w:t>
      </w:r>
      <w:r>
        <w:rPr>
          <w:rFonts w:ascii="Times New Roman" w:hAnsi="Times New Roman"/>
        </w:rPr>
        <w:t xml:space="preserve"> mean-variance has the best Sharpe (0.66) and the adaptive policy the lowest volatility (13.1%) but not the shallowest drawdown. </w:t>
      </w:r>
      <w:r>
        <w:rPr>
          <w:rFonts w:ascii="Times New Roman" w:hAnsi="Times New Roman"/>
          <w:b/>
        </w:rPr>
        <w:t>COVID-19:</w:t>
      </w:r>
      <w:r>
        <w:rPr>
          <w:rFonts w:ascii="Times New Roman" w:hAnsi="Times New Roman"/>
        </w:rPr>
        <w:t xml:space="preserve"> mean-variance again leads on Sharpe, while the adaptive policy is close to equal-weight.</w:t>
      </w:r>
    </w:p>
    <w:p>
      <w:pPr>
        <w:keepNext/>
        <w:spacing w:after="60" w:before="160"/>
      </w:pPr>
      <w:r>
        <w:rPr>
          <w:rFonts w:ascii="Times New Roman" w:hAnsi="Times New Roman"/>
          <w:b/>
          <w:sz w:val="19"/>
        </w:rPr>
        <w:t xml:space="preserve">Table 8. </w:t>
      </w:r>
      <w:r>
        <w:rPr>
          <w:rFonts w:ascii="Times New Roman" w:hAnsi="Times New Roman"/>
          <w:sz w:val="19"/>
        </w:rPr>
        <w:t>Out-of-sample (test-segment) performance of the three strategies, single run (policy seed 42). The row with the highest Sharpe ratio in each setting is in bold. Turnover is the mean ℓ¹ weight change per monthly rebalance (equal-weight targets never change, so it reports 0; trades that merely restore 1/N after price drift are not counted).</w:t>
      </w:r>
    </w:p>
    <w:tbl>
      <w:tblPr>
        <w:tblW w:type="auto" w:w="0"/>
        <w:jc w:val="center"/>
        <w:tblLayout w:type="fixed"/>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656"/>
            <w:tcBorders>
              <w:top w:val="single" w:sz="10" w:color="000000"/>
              <w:bottom w:val="single" w:sz="6" w:color="000000"/>
            </w:tcBorders>
          </w:tcPr>
          <w:p>
            <w:pPr>
              <w:spacing w:after="20"/>
              <w:jc w:val="left"/>
            </w:pPr>
            <w:r/>
            <w:r>
              <w:rPr>
                <w:rFonts w:ascii="Times New Roman" w:hAnsi="Times New Roman"/>
                <w:b/>
                <w:sz w:val="15"/>
              </w:rPr>
              <w:t>Setting</w:t>
            </w:r>
          </w:p>
        </w:tc>
        <w:tc>
          <w:tcPr>
            <w:tcW w:type="dxa" w:w="1368"/>
            <w:tcBorders>
              <w:top w:val="single" w:sz="10" w:color="000000"/>
              <w:bottom w:val="single" w:sz="6" w:color="000000"/>
            </w:tcBorders>
          </w:tcPr>
          <w:p>
            <w:pPr>
              <w:spacing w:after="20"/>
              <w:jc w:val="left"/>
            </w:pPr>
            <w:r/>
            <w:r>
              <w:rPr>
                <w:rFonts w:ascii="Times New Roman" w:hAnsi="Times New Roman"/>
                <w:b/>
                <w:sz w:val="15"/>
              </w:rPr>
              <w:t>Strategy</w:t>
            </w:r>
          </w:p>
        </w:tc>
        <w:tc>
          <w:tcPr>
            <w:tcW w:type="dxa" w:w="936"/>
            <w:tcBorders>
              <w:top w:val="single" w:sz="10" w:color="000000"/>
              <w:bottom w:val="single" w:sz="6" w:color="000000"/>
            </w:tcBorders>
          </w:tcPr>
          <w:p>
            <w:pPr>
              <w:spacing w:after="20"/>
              <w:jc w:val="center"/>
            </w:pPr>
            <w:r/>
            <w:r>
              <w:rPr>
                <w:rFonts w:ascii="Times New Roman" w:hAnsi="Times New Roman"/>
                <w:b/>
                <w:sz w:val="15"/>
              </w:rPr>
              <w:t>Total return</w:t>
            </w:r>
          </w:p>
        </w:tc>
        <w:tc>
          <w:tcPr>
            <w:tcW w:type="dxa" w:w="936"/>
            <w:tcBorders>
              <w:top w:val="single" w:sz="10" w:color="000000"/>
              <w:bottom w:val="single" w:sz="6" w:color="000000"/>
            </w:tcBorders>
          </w:tcPr>
          <w:p>
            <w:pPr>
              <w:spacing w:after="20"/>
              <w:jc w:val="center"/>
            </w:pPr>
            <w:r/>
            <w:r>
              <w:rPr>
                <w:rFonts w:ascii="Times New Roman" w:hAnsi="Times New Roman"/>
                <w:b/>
                <w:sz w:val="15"/>
              </w:rPr>
              <w:t>Ann. return</w:t>
            </w:r>
          </w:p>
        </w:tc>
        <w:tc>
          <w:tcPr>
            <w:tcW w:type="dxa" w:w="864"/>
            <w:tcBorders>
              <w:top w:val="single" w:sz="10" w:color="000000"/>
              <w:bottom w:val="single" w:sz="6" w:color="000000"/>
            </w:tcBorders>
          </w:tcPr>
          <w:p>
            <w:pPr>
              <w:spacing w:after="20"/>
              <w:jc w:val="center"/>
            </w:pPr>
            <w:r/>
            <w:r>
              <w:rPr>
                <w:rFonts w:ascii="Times New Roman" w:hAnsi="Times New Roman"/>
                <w:b/>
                <w:sz w:val="15"/>
              </w:rPr>
              <w:t>Ann. vol.</w:t>
            </w:r>
          </w:p>
        </w:tc>
        <w:tc>
          <w:tcPr>
            <w:tcW w:type="dxa" w:w="720"/>
            <w:tcBorders>
              <w:top w:val="single" w:sz="10" w:color="000000"/>
              <w:bottom w:val="single" w:sz="6" w:color="000000"/>
            </w:tcBorders>
          </w:tcPr>
          <w:p>
            <w:pPr>
              <w:spacing w:after="20"/>
              <w:jc w:val="center"/>
            </w:pPr>
            <w:r/>
            <w:r>
              <w:rPr>
                <w:rFonts w:ascii="Times New Roman" w:hAnsi="Times New Roman"/>
                <w:b/>
                <w:sz w:val="15"/>
              </w:rPr>
              <w:t>Sharpe</w:t>
            </w:r>
          </w:p>
        </w:tc>
        <w:tc>
          <w:tcPr>
            <w:tcW w:type="dxa" w:w="864"/>
            <w:tcBorders>
              <w:top w:val="single" w:sz="10" w:color="000000"/>
              <w:bottom w:val="single" w:sz="6" w:color="000000"/>
            </w:tcBorders>
          </w:tcPr>
          <w:p>
            <w:pPr>
              <w:spacing w:after="20"/>
              <w:jc w:val="center"/>
            </w:pPr>
            <w:r/>
            <w:r>
              <w:rPr>
                <w:rFonts w:ascii="Times New Roman" w:hAnsi="Times New Roman"/>
                <w:b/>
                <w:sz w:val="15"/>
              </w:rPr>
              <w:t>Max DD</w:t>
            </w:r>
          </w:p>
        </w:tc>
        <w:tc>
          <w:tcPr>
            <w:tcW w:type="dxa" w:w="720"/>
            <w:tcBorders>
              <w:top w:val="single" w:sz="10" w:color="000000"/>
              <w:bottom w:val="single" w:sz="6" w:color="000000"/>
            </w:tcBorders>
          </w:tcPr>
          <w:p>
            <w:pPr>
              <w:spacing w:after="20"/>
              <w:jc w:val="center"/>
            </w:pPr>
            <w:r/>
            <w:r>
              <w:rPr>
                <w:rFonts w:ascii="Times New Roman" w:hAnsi="Times New Roman"/>
                <w:b/>
                <w:sz w:val="15"/>
              </w:rPr>
              <w:t>Calmar</w:t>
            </w:r>
          </w:p>
        </w:tc>
        <w:tc>
          <w:tcPr>
            <w:tcW w:type="dxa" w:w="792"/>
            <w:tcBorders>
              <w:top w:val="single" w:sz="10" w:color="000000"/>
              <w:bottom w:val="single" w:sz="6" w:color="000000"/>
            </w:tcBorders>
          </w:tcPr>
          <w:p>
            <w:pPr>
              <w:spacing w:after="20"/>
              <w:jc w:val="center"/>
            </w:pPr>
            <w:r/>
            <w:r>
              <w:rPr>
                <w:rFonts w:ascii="Times New Roman" w:hAnsi="Times New Roman"/>
                <w:b/>
                <w:sz w:val="15"/>
              </w:rPr>
              <w:t>Turnover</w:t>
            </w:r>
          </w:p>
        </w:tc>
      </w:tr>
      <w:tr>
        <w:tc>
          <w:tcPr>
            <w:tcW w:type="dxa" w:w="1656"/>
          </w:tcPr>
          <w:p>
            <w:pPr>
              <w:spacing w:after="20" w:line="252" w:lineRule="auto"/>
              <w:jc w:val="left"/>
            </w:pPr>
            <w:r/>
            <w:r>
              <w:rPr>
                <w:rFonts w:ascii="Times New Roman" w:hAnsi="Times New Roman"/>
                <w:sz w:val="15"/>
              </w:rPr>
              <w:t>Dot-com (as deployed)</w:t>
            </w:r>
          </w:p>
        </w:tc>
        <w:tc>
          <w:tcPr>
            <w:tcW w:type="dxa" w:w="1368"/>
          </w:tcPr>
          <w:p>
            <w:pPr>
              <w:spacing w:after="20" w:line="252" w:lineRule="auto"/>
              <w:jc w:val="left"/>
            </w:pPr>
            <w:r/>
            <w:r>
              <w:rPr>
                <w:rFonts w:ascii="Times New Roman" w:hAnsi="Times New Roman"/>
                <w:sz w:val="15"/>
              </w:rPr>
              <w:t>Equal-Weight</w:t>
            </w:r>
          </w:p>
        </w:tc>
        <w:tc>
          <w:tcPr>
            <w:tcW w:type="dxa" w:w="936"/>
          </w:tcPr>
          <w:p>
            <w:pPr>
              <w:spacing w:after="20" w:line="252" w:lineRule="auto"/>
              <w:jc w:val="center"/>
            </w:pPr>
            <w:r/>
            <w:r>
              <w:rPr>
                <w:rFonts w:ascii="Times New Roman" w:hAnsi="Times New Roman"/>
                <w:sz w:val="15"/>
              </w:rPr>
              <w:t>-10.4%</w:t>
            </w:r>
          </w:p>
        </w:tc>
        <w:tc>
          <w:tcPr>
            <w:tcW w:type="dxa" w:w="936"/>
          </w:tcPr>
          <w:p>
            <w:pPr>
              <w:spacing w:after="20" w:line="252" w:lineRule="auto"/>
              <w:jc w:val="center"/>
            </w:pPr>
            <w:r/>
            <w:r>
              <w:rPr>
                <w:rFonts w:ascii="Times New Roman" w:hAnsi="Times New Roman"/>
                <w:sz w:val="15"/>
              </w:rPr>
              <w:t>-3.4%</w:t>
            </w:r>
          </w:p>
        </w:tc>
        <w:tc>
          <w:tcPr>
            <w:tcW w:type="dxa" w:w="864"/>
          </w:tcPr>
          <w:p>
            <w:pPr>
              <w:spacing w:after="20" w:line="252" w:lineRule="auto"/>
              <w:jc w:val="center"/>
            </w:pPr>
            <w:r/>
            <w:r>
              <w:rPr>
                <w:rFonts w:ascii="Times New Roman" w:hAnsi="Times New Roman"/>
                <w:sz w:val="15"/>
              </w:rPr>
              <w:t>20.9%</w:t>
            </w:r>
          </w:p>
        </w:tc>
        <w:tc>
          <w:tcPr>
            <w:tcW w:type="dxa" w:w="720"/>
          </w:tcPr>
          <w:p>
            <w:pPr>
              <w:spacing w:after="20" w:line="252" w:lineRule="auto"/>
              <w:jc w:val="center"/>
            </w:pPr>
            <w:r/>
            <w:r>
              <w:rPr>
                <w:rFonts w:ascii="Times New Roman" w:hAnsi="Times New Roman"/>
                <w:sz w:val="15"/>
              </w:rPr>
              <w:t>-0.16</w:t>
            </w:r>
          </w:p>
        </w:tc>
        <w:tc>
          <w:tcPr>
            <w:tcW w:type="dxa" w:w="864"/>
          </w:tcPr>
          <w:p>
            <w:pPr>
              <w:spacing w:after="20" w:line="252" w:lineRule="auto"/>
              <w:jc w:val="center"/>
            </w:pPr>
            <w:r/>
            <w:r>
              <w:rPr>
                <w:rFonts w:ascii="Times New Roman" w:hAnsi="Times New Roman"/>
                <w:sz w:val="15"/>
              </w:rPr>
              <w:t>-43.0%</w:t>
            </w:r>
          </w:p>
        </w:tc>
        <w:tc>
          <w:tcPr>
            <w:tcW w:type="dxa" w:w="720"/>
          </w:tcPr>
          <w:p>
            <w:pPr>
              <w:spacing w:after="20" w:line="252" w:lineRule="auto"/>
              <w:jc w:val="center"/>
            </w:pPr>
            <w:r/>
            <w:r>
              <w:rPr>
                <w:rFonts w:ascii="Times New Roman" w:hAnsi="Times New Roman"/>
                <w:sz w:val="15"/>
              </w:rPr>
              <w:t>-0.08</w:t>
            </w:r>
          </w:p>
        </w:tc>
        <w:tc>
          <w:tcPr>
            <w:tcW w:type="dxa" w:w="792"/>
          </w:tcPr>
          <w:p>
            <w:pPr>
              <w:spacing w:after="20" w:line="252" w:lineRule="auto"/>
              <w:jc w:val="center"/>
            </w:pPr>
            <w:r/>
            <w:r>
              <w:rPr>
                <w:rFonts w:ascii="Times New Roman" w:hAnsi="Times New Roman"/>
                <w:sz w:val="15"/>
              </w:rPr>
              <w:t>0.00</w:t>
            </w:r>
          </w:p>
        </w:tc>
      </w:tr>
      <w:tr>
        <w:tc>
          <w:tcPr>
            <w:tcW w:type="dxa" w:w="1656"/>
          </w:tcPr>
          <w:p>
            <w:pPr>
              <w:spacing w:after="20" w:line="252" w:lineRule="auto"/>
              <w:jc w:val="left"/>
            </w:pPr>
            <w:r/>
          </w:p>
        </w:tc>
        <w:tc>
          <w:tcPr>
            <w:tcW w:type="dxa" w:w="1368"/>
          </w:tcPr>
          <w:p>
            <w:pPr>
              <w:spacing w:after="20" w:line="252" w:lineRule="auto"/>
              <w:jc w:val="left"/>
            </w:pPr>
            <w:r/>
            <w:r>
              <w:rPr>
                <w:rFonts w:ascii="Times New Roman" w:hAnsi="Times New Roman"/>
                <w:sz w:val="15"/>
              </w:rPr>
              <w:t>Mean-Variance</w:t>
            </w:r>
          </w:p>
        </w:tc>
        <w:tc>
          <w:tcPr>
            <w:tcW w:type="dxa" w:w="936"/>
          </w:tcPr>
          <w:p>
            <w:pPr>
              <w:spacing w:after="20" w:line="252" w:lineRule="auto"/>
              <w:jc w:val="center"/>
            </w:pPr>
            <w:r/>
            <w:r>
              <w:rPr>
                <w:rFonts w:ascii="Times New Roman" w:hAnsi="Times New Roman"/>
                <w:sz w:val="15"/>
              </w:rPr>
              <w:t>52.6%</w:t>
            </w:r>
          </w:p>
        </w:tc>
        <w:tc>
          <w:tcPr>
            <w:tcW w:type="dxa" w:w="936"/>
          </w:tcPr>
          <w:p>
            <w:pPr>
              <w:spacing w:after="20" w:line="252" w:lineRule="auto"/>
              <w:jc w:val="center"/>
            </w:pPr>
            <w:r/>
            <w:r>
              <w:rPr>
                <w:rFonts w:ascii="Times New Roman" w:hAnsi="Times New Roman"/>
                <w:sz w:val="15"/>
              </w:rPr>
              <w:t>14.3%</w:t>
            </w:r>
          </w:p>
        </w:tc>
        <w:tc>
          <w:tcPr>
            <w:tcW w:type="dxa" w:w="864"/>
          </w:tcPr>
          <w:p>
            <w:pPr>
              <w:spacing w:after="20" w:line="252" w:lineRule="auto"/>
              <w:jc w:val="center"/>
            </w:pPr>
            <w:r/>
            <w:r>
              <w:rPr>
                <w:rFonts w:ascii="Times New Roman" w:hAnsi="Times New Roman"/>
                <w:sz w:val="15"/>
              </w:rPr>
              <w:t>20.3%</w:t>
            </w:r>
          </w:p>
        </w:tc>
        <w:tc>
          <w:tcPr>
            <w:tcW w:type="dxa" w:w="720"/>
          </w:tcPr>
          <w:p>
            <w:pPr>
              <w:spacing w:after="20" w:line="252" w:lineRule="auto"/>
              <w:jc w:val="center"/>
            </w:pPr>
            <w:r/>
            <w:r>
              <w:rPr>
                <w:rFonts w:ascii="Times New Roman" w:hAnsi="Times New Roman"/>
                <w:sz w:val="15"/>
              </w:rPr>
              <w:t>0.66</w:t>
            </w:r>
          </w:p>
        </w:tc>
        <w:tc>
          <w:tcPr>
            <w:tcW w:type="dxa" w:w="864"/>
          </w:tcPr>
          <w:p>
            <w:pPr>
              <w:spacing w:after="20" w:line="252" w:lineRule="auto"/>
              <w:jc w:val="center"/>
            </w:pPr>
            <w:r/>
            <w:r>
              <w:rPr>
                <w:rFonts w:ascii="Times New Roman" w:hAnsi="Times New Roman"/>
                <w:sz w:val="15"/>
              </w:rPr>
              <w:t>-17.7%</w:t>
            </w:r>
          </w:p>
        </w:tc>
        <w:tc>
          <w:tcPr>
            <w:tcW w:type="dxa" w:w="720"/>
          </w:tcPr>
          <w:p>
            <w:pPr>
              <w:spacing w:after="20" w:line="252" w:lineRule="auto"/>
              <w:jc w:val="center"/>
            </w:pPr>
            <w:r/>
            <w:r>
              <w:rPr>
                <w:rFonts w:ascii="Times New Roman" w:hAnsi="Times New Roman"/>
                <w:sz w:val="15"/>
              </w:rPr>
              <w:t>0.81</w:t>
            </w:r>
          </w:p>
        </w:tc>
        <w:tc>
          <w:tcPr>
            <w:tcW w:type="dxa" w:w="792"/>
          </w:tcPr>
          <w:p>
            <w:pPr>
              <w:spacing w:after="20" w:line="252" w:lineRule="auto"/>
              <w:jc w:val="center"/>
            </w:pPr>
            <w:r/>
            <w:r>
              <w:rPr>
                <w:rFonts w:ascii="Times New Roman" w:hAnsi="Times New Roman"/>
                <w:sz w:val="15"/>
              </w:rPr>
              <w:t>0.90</w:t>
            </w:r>
          </w:p>
        </w:tc>
      </w:tr>
      <w:tr>
        <w:tc>
          <w:tcPr>
            <w:tcW w:type="dxa" w:w="1656"/>
          </w:tcPr>
          <w:p>
            <w:pPr>
              <w:spacing w:after="20" w:line="252" w:lineRule="auto"/>
              <w:jc w:val="left"/>
            </w:pPr>
            <w:r/>
            <w:r>
              <w:rPr>
                <w:rFonts w:ascii="Times New Roman" w:hAnsi="Times New Roman"/>
                <w:b/>
                <w:sz w:val="15"/>
              </w:rPr>
            </w:r>
          </w:p>
        </w:tc>
        <w:tc>
          <w:tcPr>
            <w:tcW w:type="dxa" w:w="1368"/>
          </w:tcPr>
          <w:p>
            <w:pPr>
              <w:spacing w:after="20" w:line="252" w:lineRule="auto"/>
              <w:jc w:val="left"/>
            </w:pPr>
            <w:r/>
            <w:r>
              <w:rPr>
                <w:rFonts w:ascii="Times New Roman" w:hAnsi="Times New Roman"/>
                <w:b/>
                <w:sz w:val="15"/>
              </w:rPr>
              <w:t>Adaptive (ES)</w:t>
            </w:r>
          </w:p>
        </w:tc>
        <w:tc>
          <w:tcPr>
            <w:tcW w:type="dxa" w:w="936"/>
          </w:tcPr>
          <w:p>
            <w:pPr>
              <w:spacing w:after="20" w:line="252" w:lineRule="auto"/>
              <w:jc w:val="center"/>
            </w:pPr>
            <w:r/>
            <w:r>
              <w:rPr>
                <w:rFonts w:ascii="Times New Roman" w:hAnsi="Times New Roman"/>
                <w:b/>
                <w:sz w:val="15"/>
              </w:rPr>
              <w:t>52.6%</w:t>
            </w:r>
          </w:p>
        </w:tc>
        <w:tc>
          <w:tcPr>
            <w:tcW w:type="dxa" w:w="936"/>
          </w:tcPr>
          <w:p>
            <w:pPr>
              <w:spacing w:after="20" w:line="252" w:lineRule="auto"/>
              <w:jc w:val="center"/>
            </w:pPr>
            <w:r/>
            <w:r>
              <w:rPr>
                <w:rFonts w:ascii="Times New Roman" w:hAnsi="Times New Roman"/>
                <w:b/>
                <w:sz w:val="15"/>
              </w:rPr>
              <w:t>14.3%</w:t>
            </w:r>
          </w:p>
        </w:tc>
        <w:tc>
          <w:tcPr>
            <w:tcW w:type="dxa" w:w="864"/>
          </w:tcPr>
          <w:p>
            <w:pPr>
              <w:spacing w:after="20" w:line="252" w:lineRule="auto"/>
              <w:jc w:val="center"/>
            </w:pPr>
            <w:r/>
            <w:r>
              <w:rPr>
                <w:rFonts w:ascii="Times New Roman" w:hAnsi="Times New Roman"/>
                <w:b/>
                <w:sz w:val="15"/>
              </w:rPr>
              <w:t>14.8%</w:t>
            </w:r>
          </w:p>
        </w:tc>
        <w:tc>
          <w:tcPr>
            <w:tcW w:type="dxa" w:w="720"/>
          </w:tcPr>
          <w:p>
            <w:pPr>
              <w:spacing w:after="20" w:line="252" w:lineRule="auto"/>
              <w:jc w:val="center"/>
            </w:pPr>
            <w:r/>
            <w:r>
              <w:rPr>
                <w:rFonts w:ascii="Times New Roman" w:hAnsi="Times New Roman"/>
                <w:b/>
                <w:sz w:val="15"/>
              </w:rPr>
              <w:t>0.84</w:t>
            </w:r>
          </w:p>
        </w:tc>
        <w:tc>
          <w:tcPr>
            <w:tcW w:type="dxa" w:w="864"/>
          </w:tcPr>
          <w:p>
            <w:pPr>
              <w:spacing w:after="20" w:line="252" w:lineRule="auto"/>
              <w:jc w:val="center"/>
            </w:pPr>
            <w:r/>
            <w:r>
              <w:rPr>
                <w:rFonts w:ascii="Times New Roman" w:hAnsi="Times New Roman"/>
                <w:b/>
                <w:sz w:val="15"/>
              </w:rPr>
              <w:t>-15.2%</w:t>
            </w:r>
          </w:p>
        </w:tc>
        <w:tc>
          <w:tcPr>
            <w:tcW w:type="dxa" w:w="720"/>
          </w:tcPr>
          <w:p>
            <w:pPr>
              <w:spacing w:after="20" w:line="252" w:lineRule="auto"/>
              <w:jc w:val="center"/>
            </w:pPr>
            <w:r/>
            <w:r>
              <w:rPr>
                <w:rFonts w:ascii="Times New Roman" w:hAnsi="Times New Roman"/>
                <w:b/>
                <w:sz w:val="15"/>
              </w:rPr>
              <w:t>0.94</w:t>
            </w:r>
          </w:p>
        </w:tc>
        <w:tc>
          <w:tcPr>
            <w:tcW w:type="dxa" w:w="792"/>
          </w:tcPr>
          <w:p>
            <w:pPr>
              <w:spacing w:after="20" w:line="252" w:lineRule="auto"/>
              <w:jc w:val="center"/>
            </w:pPr>
            <w:r/>
            <w:r>
              <w:rPr>
                <w:rFonts w:ascii="Times New Roman" w:hAnsi="Times New Roman"/>
                <w:b/>
                <w:sz w:val="15"/>
              </w:rPr>
              <w:t>0.00</w:t>
            </w:r>
          </w:p>
        </w:tc>
      </w:tr>
      <w:tr>
        <w:tc>
          <w:tcPr>
            <w:tcW w:type="dxa" w:w="1656"/>
          </w:tcPr>
          <w:p>
            <w:pPr>
              <w:spacing w:after="20" w:line="252" w:lineRule="auto"/>
              <w:jc w:val="left"/>
            </w:pPr>
            <w:r/>
            <w:r>
              <w:rPr>
                <w:rFonts w:ascii="Times New Roman" w:hAnsi="Times New Roman"/>
                <w:sz w:val="15"/>
              </w:rPr>
              <w:t>Dot-com (corrected)</w:t>
            </w:r>
          </w:p>
        </w:tc>
        <w:tc>
          <w:tcPr>
            <w:tcW w:type="dxa" w:w="1368"/>
          </w:tcPr>
          <w:p>
            <w:pPr>
              <w:spacing w:after="20" w:line="252" w:lineRule="auto"/>
              <w:jc w:val="left"/>
            </w:pPr>
            <w:r/>
            <w:r>
              <w:rPr>
                <w:rFonts w:ascii="Times New Roman" w:hAnsi="Times New Roman"/>
                <w:sz w:val="15"/>
              </w:rPr>
              <w:t>Equal-Weight</w:t>
            </w:r>
          </w:p>
        </w:tc>
        <w:tc>
          <w:tcPr>
            <w:tcW w:type="dxa" w:w="936"/>
          </w:tcPr>
          <w:p>
            <w:pPr>
              <w:spacing w:after="20" w:line="252" w:lineRule="auto"/>
              <w:jc w:val="center"/>
            </w:pPr>
            <w:r/>
            <w:r>
              <w:rPr>
                <w:rFonts w:ascii="Times New Roman" w:hAnsi="Times New Roman"/>
                <w:sz w:val="15"/>
              </w:rPr>
              <w:t>-20.7%</w:t>
            </w:r>
          </w:p>
        </w:tc>
        <w:tc>
          <w:tcPr>
            <w:tcW w:type="dxa" w:w="936"/>
          </w:tcPr>
          <w:p>
            <w:pPr>
              <w:spacing w:after="20" w:line="252" w:lineRule="auto"/>
              <w:jc w:val="center"/>
            </w:pPr>
            <w:r/>
            <w:r>
              <w:rPr>
                <w:rFonts w:ascii="Times New Roman" w:hAnsi="Times New Roman"/>
                <w:sz w:val="15"/>
              </w:rPr>
              <w:t>-5.9%</w:t>
            </w:r>
          </w:p>
        </w:tc>
        <w:tc>
          <w:tcPr>
            <w:tcW w:type="dxa" w:w="864"/>
          </w:tcPr>
          <w:p>
            <w:pPr>
              <w:spacing w:after="20" w:line="252" w:lineRule="auto"/>
              <w:jc w:val="center"/>
            </w:pPr>
            <w:r/>
            <w:r>
              <w:rPr>
                <w:rFonts w:ascii="Times New Roman" w:hAnsi="Times New Roman"/>
                <w:sz w:val="15"/>
              </w:rPr>
              <w:t>21.2%</w:t>
            </w:r>
          </w:p>
        </w:tc>
        <w:tc>
          <w:tcPr>
            <w:tcW w:type="dxa" w:w="720"/>
          </w:tcPr>
          <w:p>
            <w:pPr>
              <w:spacing w:after="20" w:line="252" w:lineRule="auto"/>
              <w:jc w:val="center"/>
            </w:pPr>
            <w:r/>
            <w:r>
              <w:rPr>
                <w:rFonts w:ascii="Times New Roman" w:hAnsi="Times New Roman"/>
                <w:sz w:val="15"/>
              </w:rPr>
              <w:t>-0.28</w:t>
            </w:r>
          </w:p>
        </w:tc>
        <w:tc>
          <w:tcPr>
            <w:tcW w:type="dxa" w:w="864"/>
          </w:tcPr>
          <w:p>
            <w:pPr>
              <w:spacing w:after="20" w:line="252" w:lineRule="auto"/>
              <w:jc w:val="center"/>
            </w:pPr>
            <w:r/>
            <w:r>
              <w:rPr>
                <w:rFonts w:ascii="Times New Roman" w:hAnsi="Times New Roman"/>
                <w:sz w:val="15"/>
              </w:rPr>
              <w:t>-46.5%</w:t>
            </w:r>
          </w:p>
        </w:tc>
        <w:tc>
          <w:tcPr>
            <w:tcW w:type="dxa" w:w="720"/>
          </w:tcPr>
          <w:p>
            <w:pPr>
              <w:spacing w:after="20" w:line="252" w:lineRule="auto"/>
              <w:jc w:val="center"/>
            </w:pPr>
            <w:r/>
            <w:r>
              <w:rPr>
                <w:rFonts w:ascii="Times New Roman" w:hAnsi="Times New Roman"/>
                <w:sz w:val="15"/>
              </w:rPr>
              <w:t>-0.13</w:t>
            </w:r>
          </w:p>
        </w:tc>
        <w:tc>
          <w:tcPr>
            <w:tcW w:type="dxa" w:w="792"/>
          </w:tcPr>
          <w:p>
            <w:pPr>
              <w:spacing w:after="20" w:line="252" w:lineRule="auto"/>
              <w:jc w:val="center"/>
            </w:pPr>
            <w:r/>
            <w:r>
              <w:rPr>
                <w:rFonts w:ascii="Times New Roman" w:hAnsi="Times New Roman"/>
                <w:sz w:val="15"/>
              </w:rPr>
              <w:t>0.00</w:t>
            </w:r>
          </w:p>
        </w:tc>
      </w:tr>
      <w:tr>
        <w:tc>
          <w:tcPr>
            <w:tcW w:type="dxa" w:w="1656"/>
          </w:tcPr>
          <w:p>
            <w:pPr>
              <w:spacing w:after="20" w:line="252" w:lineRule="auto"/>
              <w:jc w:val="left"/>
            </w:pPr>
            <w:r/>
            <w:r>
              <w:rPr>
                <w:rFonts w:ascii="Times New Roman" w:hAnsi="Times New Roman"/>
                <w:b/>
                <w:sz w:val="15"/>
              </w:rPr>
            </w:r>
          </w:p>
        </w:tc>
        <w:tc>
          <w:tcPr>
            <w:tcW w:type="dxa" w:w="1368"/>
          </w:tcPr>
          <w:p>
            <w:pPr>
              <w:spacing w:after="20" w:line="252" w:lineRule="auto"/>
              <w:jc w:val="left"/>
            </w:pPr>
            <w:r/>
            <w:r>
              <w:rPr>
                <w:rFonts w:ascii="Times New Roman" w:hAnsi="Times New Roman"/>
                <w:b/>
                <w:sz w:val="15"/>
              </w:rPr>
              <w:t>Mean-Variance</w:t>
            </w:r>
          </w:p>
        </w:tc>
        <w:tc>
          <w:tcPr>
            <w:tcW w:type="dxa" w:w="936"/>
          </w:tcPr>
          <w:p>
            <w:pPr>
              <w:spacing w:after="20" w:line="252" w:lineRule="auto"/>
              <w:jc w:val="center"/>
            </w:pPr>
            <w:r/>
            <w:r>
              <w:rPr>
                <w:rFonts w:ascii="Times New Roman" w:hAnsi="Times New Roman"/>
                <w:b/>
                <w:sz w:val="15"/>
              </w:rPr>
              <w:t>43.4%</w:t>
            </w:r>
          </w:p>
        </w:tc>
        <w:tc>
          <w:tcPr>
            <w:tcW w:type="dxa" w:w="936"/>
          </w:tcPr>
          <w:p>
            <w:pPr>
              <w:spacing w:after="20" w:line="252" w:lineRule="auto"/>
              <w:jc w:val="center"/>
            </w:pPr>
            <w:r/>
            <w:r>
              <w:rPr>
                <w:rFonts w:ascii="Times New Roman" w:hAnsi="Times New Roman"/>
                <w:b/>
                <w:sz w:val="15"/>
              </w:rPr>
              <w:t>10.0%</w:t>
            </w:r>
          </w:p>
        </w:tc>
        <w:tc>
          <w:tcPr>
            <w:tcW w:type="dxa" w:w="864"/>
          </w:tcPr>
          <w:p>
            <w:pPr>
              <w:spacing w:after="20" w:line="252" w:lineRule="auto"/>
              <w:jc w:val="center"/>
            </w:pPr>
            <w:r/>
            <w:r>
              <w:rPr>
                <w:rFonts w:ascii="Times New Roman" w:hAnsi="Times New Roman"/>
                <w:b/>
                <w:sz w:val="15"/>
              </w:rPr>
              <w:t>13.7%</w:t>
            </w:r>
          </w:p>
        </w:tc>
        <w:tc>
          <w:tcPr>
            <w:tcW w:type="dxa" w:w="720"/>
          </w:tcPr>
          <w:p>
            <w:pPr>
              <w:spacing w:after="20" w:line="252" w:lineRule="auto"/>
              <w:jc w:val="center"/>
            </w:pPr>
            <w:r/>
            <w:r>
              <w:rPr>
                <w:rFonts w:ascii="Times New Roman" w:hAnsi="Times New Roman"/>
                <w:b/>
                <w:sz w:val="15"/>
              </w:rPr>
              <w:t>0.61</w:t>
            </w:r>
          </w:p>
        </w:tc>
        <w:tc>
          <w:tcPr>
            <w:tcW w:type="dxa" w:w="864"/>
          </w:tcPr>
          <w:p>
            <w:pPr>
              <w:spacing w:after="20" w:line="252" w:lineRule="auto"/>
              <w:jc w:val="center"/>
            </w:pPr>
            <w:r/>
            <w:r>
              <w:rPr>
                <w:rFonts w:ascii="Times New Roman" w:hAnsi="Times New Roman"/>
                <w:b/>
                <w:sz w:val="15"/>
              </w:rPr>
              <w:t>-25.2%</w:t>
            </w:r>
          </w:p>
        </w:tc>
        <w:tc>
          <w:tcPr>
            <w:tcW w:type="dxa" w:w="720"/>
          </w:tcPr>
          <w:p>
            <w:pPr>
              <w:spacing w:after="20" w:line="252" w:lineRule="auto"/>
              <w:jc w:val="center"/>
            </w:pPr>
            <w:r/>
            <w:r>
              <w:rPr>
                <w:rFonts w:ascii="Times New Roman" w:hAnsi="Times New Roman"/>
                <w:b/>
                <w:sz w:val="15"/>
              </w:rPr>
              <w:t>0.39</w:t>
            </w:r>
          </w:p>
        </w:tc>
        <w:tc>
          <w:tcPr>
            <w:tcW w:type="dxa" w:w="792"/>
          </w:tcPr>
          <w:p>
            <w:pPr>
              <w:spacing w:after="20" w:line="252" w:lineRule="auto"/>
              <w:jc w:val="center"/>
            </w:pPr>
            <w:r/>
            <w:r>
              <w:rPr>
                <w:rFonts w:ascii="Times New Roman" w:hAnsi="Times New Roman"/>
                <w:b/>
                <w:sz w:val="15"/>
              </w:rPr>
              <w:t>0.50</w:t>
            </w:r>
          </w:p>
        </w:tc>
      </w:tr>
      <w:tr>
        <w:tc>
          <w:tcPr>
            <w:tcW w:type="dxa" w:w="1656"/>
          </w:tcPr>
          <w:p>
            <w:pPr>
              <w:spacing w:after="20" w:line="252" w:lineRule="auto"/>
              <w:jc w:val="left"/>
            </w:pPr>
            <w:r/>
          </w:p>
        </w:tc>
        <w:tc>
          <w:tcPr>
            <w:tcW w:type="dxa" w:w="1368"/>
          </w:tcPr>
          <w:p>
            <w:pPr>
              <w:spacing w:after="20" w:line="252" w:lineRule="auto"/>
              <w:jc w:val="left"/>
            </w:pPr>
            <w:r/>
            <w:r>
              <w:rPr>
                <w:rFonts w:ascii="Times New Roman" w:hAnsi="Times New Roman"/>
                <w:sz w:val="15"/>
              </w:rPr>
              <w:t>Adaptive (ES)</w:t>
            </w:r>
          </w:p>
        </w:tc>
        <w:tc>
          <w:tcPr>
            <w:tcW w:type="dxa" w:w="936"/>
          </w:tcPr>
          <w:p>
            <w:pPr>
              <w:spacing w:after="20" w:line="252" w:lineRule="auto"/>
              <w:jc w:val="center"/>
            </w:pPr>
            <w:r/>
            <w:r>
              <w:rPr>
                <w:rFonts w:ascii="Times New Roman" w:hAnsi="Times New Roman"/>
                <w:sz w:val="15"/>
              </w:rPr>
              <w:t>-60.5%</w:t>
            </w:r>
          </w:p>
        </w:tc>
        <w:tc>
          <w:tcPr>
            <w:tcW w:type="dxa" w:w="936"/>
          </w:tcPr>
          <w:p>
            <w:pPr>
              <w:spacing w:after="20" w:line="252" w:lineRule="auto"/>
              <w:jc w:val="center"/>
            </w:pPr>
            <w:r/>
            <w:r>
              <w:rPr>
                <w:rFonts w:ascii="Times New Roman" w:hAnsi="Times New Roman"/>
                <w:sz w:val="15"/>
              </w:rPr>
              <w:t>-21.7%</w:t>
            </w:r>
          </w:p>
        </w:tc>
        <w:tc>
          <w:tcPr>
            <w:tcW w:type="dxa" w:w="864"/>
          </w:tcPr>
          <w:p>
            <w:pPr>
              <w:spacing w:after="20" w:line="252" w:lineRule="auto"/>
              <w:jc w:val="center"/>
            </w:pPr>
            <w:r/>
            <w:r>
              <w:rPr>
                <w:rFonts w:ascii="Times New Roman" w:hAnsi="Times New Roman"/>
                <w:sz w:val="15"/>
              </w:rPr>
              <w:t>41.6%</w:t>
            </w:r>
          </w:p>
        </w:tc>
        <w:tc>
          <w:tcPr>
            <w:tcW w:type="dxa" w:w="720"/>
          </w:tcPr>
          <w:p>
            <w:pPr>
              <w:spacing w:after="20" w:line="252" w:lineRule="auto"/>
              <w:jc w:val="center"/>
            </w:pPr>
            <w:r/>
            <w:r>
              <w:rPr>
                <w:rFonts w:ascii="Times New Roman" w:hAnsi="Times New Roman"/>
                <w:sz w:val="15"/>
              </w:rPr>
              <w:t>-0.43</w:t>
            </w:r>
          </w:p>
        </w:tc>
        <w:tc>
          <w:tcPr>
            <w:tcW w:type="dxa" w:w="864"/>
          </w:tcPr>
          <w:p>
            <w:pPr>
              <w:spacing w:after="20" w:line="252" w:lineRule="auto"/>
              <w:jc w:val="center"/>
            </w:pPr>
            <w:r/>
            <w:r>
              <w:rPr>
                <w:rFonts w:ascii="Times New Roman" w:hAnsi="Times New Roman"/>
                <w:sz w:val="15"/>
              </w:rPr>
              <w:t>-73.2%</w:t>
            </w:r>
          </w:p>
        </w:tc>
        <w:tc>
          <w:tcPr>
            <w:tcW w:type="dxa" w:w="720"/>
          </w:tcPr>
          <w:p>
            <w:pPr>
              <w:spacing w:after="20" w:line="252" w:lineRule="auto"/>
              <w:jc w:val="center"/>
            </w:pPr>
            <w:r/>
            <w:r>
              <w:rPr>
                <w:rFonts w:ascii="Times New Roman" w:hAnsi="Times New Roman"/>
                <w:sz w:val="15"/>
              </w:rPr>
              <w:t>-0.30</w:t>
            </w:r>
          </w:p>
        </w:tc>
        <w:tc>
          <w:tcPr>
            <w:tcW w:type="dxa" w:w="792"/>
          </w:tcPr>
          <w:p>
            <w:pPr>
              <w:spacing w:after="20" w:line="252" w:lineRule="auto"/>
              <w:jc w:val="center"/>
            </w:pPr>
            <w:r/>
            <w:r>
              <w:rPr>
                <w:rFonts w:ascii="Times New Roman" w:hAnsi="Times New Roman"/>
                <w:sz w:val="15"/>
              </w:rPr>
              <w:t>0.57</w:t>
            </w:r>
          </w:p>
        </w:tc>
      </w:tr>
      <w:tr>
        <w:tc>
          <w:tcPr>
            <w:tcW w:type="dxa" w:w="1656"/>
          </w:tcPr>
          <w:p>
            <w:pPr>
              <w:spacing w:after="20" w:line="252" w:lineRule="auto"/>
              <w:jc w:val="left"/>
            </w:pPr>
            <w:r/>
            <w:r>
              <w:rPr>
                <w:rFonts w:ascii="Times New Roman" w:hAnsi="Times New Roman"/>
                <w:sz w:val="15"/>
              </w:rPr>
              <w:t>2008 GFC</w:t>
            </w:r>
          </w:p>
        </w:tc>
        <w:tc>
          <w:tcPr>
            <w:tcW w:type="dxa" w:w="1368"/>
          </w:tcPr>
          <w:p>
            <w:pPr>
              <w:spacing w:after="20" w:line="252" w:lineRule="auto"/>
              <w:jc w:val="left"/>
            </w:pPr>
            <w:r/>
            <w:r>
              <w:rPr>
                <w:rFonts w:ascii="Times New Roman" w:hAnsi="Times New Roman"/>
                <w:sz w:val="15"/>
              </w:rPr>
              <w:t>Equal-Weight</w:t>
            </w:r>
          </w:p>
        </w:tc>
        <w:tc>
          <w:tcPr>
            <w:tcW w:type="dxa" w:w="936"/>
          </w:tcPr>
          <w:p>
            <w:pPr>
              <w:spacing w:after="20" w:line="252" w:lineRule="auto"/>
              <w:jc w:val="center"/>
            </w:pPr>
            <w:r/>
            <w:r>
              <w:rPr>
                <w:rFonts w:ascii="Times New Roman" w:hAnsi="Times New Roman"/>
                <w:sz w:val="15"/>
              </w:rPr>
              <w:t>28.8%</w:t>
            </w:r>
          </w:p>
        </w:tc>
        <w:tc>
          <w:tcPr>
            <w:tcW w:type="dxa" w:w="936"/>
          </w:tcPr>
          <w:p>
            <w:pPr>
              <w:spacing w:after="20" w:line="252" w:lineRule="auto"/>
              <w:jc w:val="center"/>
            </w:pPr>
            <w:r/>
            <w:r>
              <w:rPr>
                <w:rFonts w:ascii="Times New Roman" w:hAnsi="Times New Roman"/>
                <w:sz w:val="15"/>
              </w:rPr>
              <w:t>8.2%</w:t>
            </w:r>
          </w:p>
        </w:tc>
        <w:tc>
          <w:tcPr>
            <w:tcW w:type="dxa" w:w="864"/>
          </w:tcPr>
          <w:p>
            <w:pPr>
              <w:spacing w:after="20" w:line="252" w:lineRule="auto"/>
              <w:jc w:val="center"/>
            </w:pPr>
            <w:r/>
            <w:r>
              <w:rPr>
                <w:rFonts w:ascii="Times New Roman" w:hAnsi="Times New Roman"/>
                <w:sz w:val="15"/>
              </w:rPr>
              <w:t>14.7%</w:t>
            </w:r>
          </w:p>
        </w:tc>
        <w:tc>
          <w:tcPr>
            <w:tcW w:type="dxa" w:w="720"/>
          </w:tcPr>
          <w:p>
            <w:pPr>
              <w:spacing w:after="20" w:line="252" w:lineRule="auto"/>
              <w:jc w:val="center"/>
            </w:pPr>
            <w:r/>
            <w:r>
              <w:rPr>
                <w:rFonts w:ascii="Times New Roman" w:hAnsi="Times New Roman"/>
                <w:sz w:val="15"/>
              </w:rPr>
              <w:t>0.47</w:t>
            </w:r>
          </w:p>
        </w:tc>
        <w:tc>
          <w:tcPr>
            <w:tcW w:type="dxa" w:w="864"/>
          </w:tcPr>
          <w:p>
            <w:pPr>
              <w:spacing w:after="20" w:line="252" w:lineRule="auto"/>
              <w:jc w:val="center"/>
            </w:pPr>
            <w:r/>
            <w:r>
              <w:rPr>
                <w:rFonts w:ascii="Times New Roman" w:hAnsi="Times New Roman"/>
                <w:sz w:val="15"/>
              </w:rPr>
              <w:t>-26.6%</w:t>
            </w:r>
          </w:p>
        </w:tc>
        <w:tc>
          <w:tcPr>
            <w:tcW w:type="dxa" w:w="720"/>
          </w:tcPr>
          <w:p>
            <w:pPr>
              <w:spacing w:after="20" w:line="252" w:lineRule="auto"/>
              <w:jc w:val="center"/>
            </w:pPr>
            <w:r/>
            <w:r>
              <w:rPr>
                <w:rFonts w:ascii="Times New Roman" w:hAnsi="Times New Roman"/>
                <w:sz w:val="15"/>
              </w:rPr>
              <w:t>0.31</w:t>
            </w:r>
          </w:p>
        </w:tc>
        <w:tc>
          <w:tcPr>
            <w:tcW w:type="dxa" w:w="792"/>
          </w:tcPr>
          <w:p>
            <w:pPr>
              <w:spacing w:after="20" w:line="252" w:lineRule="auto"/>
              <w:jc w:val="center"/>
            </w:pPr>
            <w:r/>
            <w:r>
              <w:rPr>
                <w:rFonts w:ascii="Times New Roman" w:hAnsi="Times New Roman"/>
                <w:sz w:val="15"/>
              </w:rPr>
              <w:t>0.00</w:t>
            </w:r>
          </w:p>
        </w:tc>
      </w:tr>
      <w:tr>
        <w:tc>
          <w:tcPr>
            <w:tcW w:type="dxa" w:w="1656"/>
          </w:tcPr>
          <w:p>
            <w:pPr>
              <w:spacing w:after="20" w:line="252" w:lineRule="auto"/>
              <w:jc w:val="left"/>
            </w:pPr>
            <w:r/>
            <w:r>
              <w:rPr>
                <w:rFonts w:ascii="Times New Roman" w:hAnsi="Times New Roman"/>
                <w:b/>
                <w:sz w:val="15"/>
              </w:rPr>
            </w:r>
          </w:p>
        </w:tc>
        <w:tc>
          <w:tcPr>
            <w:tcW w:type="dxa" w:w="1368"/>
          </w:tcPr>
          <w:p>
            <w:pPr>
              <w:spacing w:after="20" w:line="252" w:lineRule="auto"/>
              <w:jc w:val="left"/>
            </w:pPr>
            <w:r/>
            <w:r>
              <w:rPr>
                <w:rFonts w:ascii="Times New Roman" w:hAnsi="Times New Roman"/>
                <w:b/>
                <w:sz w:val="15"/>
              </w:rPr>
              <w:t>Mean-Variance</w:t>
            </w:r>
          </w:p>
        </w:tc>
        <w:tc>
          <w:tcPr>
            <w:tcW w:type="dxa" w:w="936"/>
          </w:tcPr>
          <w:p>
            <w:pPr>
              <w:spacing w:after="20" w:line="252" w:lineRule="auto"/>
              <w:jc w:val="center"/>
            </w:pPr>
            <w:r/>
            <w:r>
              <w:rPr>
                <w:rFonts w:ascii="Times New Roman" w:hAnsi="Times New Roman"/>
                <w:b/>
                <w:sz w:val="15"/>
              </w:rPr>
              <w:t>43.8%</w:t>
            </w:r>
          </w:p>
        </w:tc>
        <w:tc>
          <w:tcPr>
            <w:tcW w:type="dxa" w:w="936"/>
          </w:tcPr>
          <w:p>
            <w:pPr>
              <w:spacing w:after="20" w:line="252" w:lineRule="auto"/>
              <w:jc w:val="center"/>
            </w:pPr>
            <w:r/>
            <w:r>
              <w:rPr>
                <w:rFonts w:ascii="Times New Roman" w:hAnsi="Times New Roman"/>
                <w:b/>
                <w:sz w:val="15"/>
              </w:rPr>
              <w:t>11.9%</w:t>
            </w:r>
          </w:p>
        </w:tc>
        <w:tc>
          <w:tcPr>
            <w:tcW w:type="dxa" w:w="864"/>
          </w:tcPr>
          <w:p>
            <w:pPr>
              <w:spacing w:after="20" w:line="252" w:lineRule="auto"/>
              <w:jc w:val="center"/>
            </w:pPr>
            <w:r/>
            <w:r>
              <w:rPr>
                <w:rFonts w:ascii="Times New Roman" w:hAnsi="Times New Roman"/>
                <w:b/>
                <w:sz w:val="15"/>
              </w:rPr>
              <w:t>16.0%</w:t>
            </w:r>
          </w:p>
        </w:tc>
        <w:tc>
          <w:tcPr>
            <w:tcW w:type="dxa" w:w="720"/>
          </w:tcPr>
          <w:p>
            <w:pPr>
              <w:spacing w:after="20" w:line="252" w:lineRule="auto"/>
              <w:jc w:val="center"/>
            </w:pPr>
            <w:r/>
            <w:r>
              <w:rPr>
                <w:rFonts w:ascii="Times New Roman" w:hAnsi="Times New Roman"/>
                <w:b/>
                <w:sz w:val="15"/>
              </w:rPr>
              <w:t>0.66</w:t>
            </w:r>
          </w:p>
        </w:tc>
        <w:tc>
          <w:tcPr>
            <w:tcW w:type="dxa" w:w="864"/>
          </w:tcPr>
          <w:p>
            <w:pPr>
              <w:spacing w:after="20" w:line="252" w:lineRule="auto"/>
              <w:jc w:val="center"/>
            </w:pPr>
            <w:r/>
            <w:r>
              <w:rPr>
                <w:rFonts w:ascii="Times New Roman" w:hAnsi="Times New Roman"/>
                <w:b/>
                <w:sz w:val="15"/>
              </w:rPr>
              <w:t>-19.1%</w:t>
            </w:r>
          </w:p>
        </w:tc>
        <w:tc>
          <w:tcPr>
            <w:tcW w:type="dxa" w:w="720"/>
          </w:tcPr>
          <w:p>
            <w:pPr>
              <w:spacing w:after="20" w:line="252" w:lineRule="auto"/>
              <w:jc w:val="center"/>
            </w:pPr>
            <w:r/>
            <w:r>
              <w:rPr>
                <w:rFonts w:ascii="Times New Roman" w:hAnsi="Times New Roman"/>
                <w:b/>
                <w:sz w:val="15"/>
              </w:rPr>
              <w:t>0.62</w:t>
            </w:r>
          </w:p>
        </w:tc>
        <w:tc>
          <w:tcPr>
            <w:tcW w:type="dxa" w:w="792"/>
          </w:tcPr>
          <w:p>
            <w:pPr>
              <w:spacing w:after="20" w:line="252" w:lineRule="auto"/>
              <w:jc w:val="center"/>
            </w:pPr>
            <w:r/>
            <w:r>
              <w:rPr>
                <w:rFonts w:ascii="Times New Roman" w:hAnsi="Times New Roman"/>
                <w:b/>
                <w:sz w:val="15"/>
              </w:rPr>
              <w:t>0.75</w:t>
            </w:r>
          </w:p>
        </w:tc>
      </w:tr>
      <w:tr>
        <w:tc>
          <w:tcPr>
            <w:tcW w:type="dxa" w:w="1656"/>
          </w:tcPr>
          <w:p>
            <w:pPr>
              <w:spacing w:after="20" w:line="252" w:lineRule="auto"/>
              <w:jc w:val="left"/>
            </w:pPr>
            <w:r/>
          </w:p>
        </w:tc>
        <w:tc>
          <w:tcPr>
            <w:tcW w:type="dxa" w:w="1368"/>
          </w:tcPr>
          <w:p>
            <w:pPr>
              <w:spacing w:after="20" w:line="252" w:lineRule="auto"/>
              <w:jc w:val="left"/>
            </w:pPr>
            <w:r/>
            <w:r>
              <w:rPr>
                <w:rFonts w:ascii="Times New Roman" w:hAnsi="Times New Roman"/>
                <w:sz w:val="15"/>
              </w:rPr>
              <w:t>Adaptive (ES)</w:t>
            </w:r>
          </w:p>
        </w:tc>
        <w:tc>
          <w:tcPr>
            <w:tcW w:type="dxa" w:w="936"/>
          </w:tcPr>
          <w:p>
            <w:pPr>
              <w:spacing w:after="20" w:line="252" w:lineRule="auto"/>
              <w:jc w:val="center"/>
            </w:pPr>
            <w:r/>
            <w:r>
              <w:rPr>
                <w:rFonts w:ascii="Times New Roman" w:hAnsi="Times New Roman"/>
                <w:sz w:val="15"/>
              </w:rPr>
              <w:t>20.2%</w:t>
            </w:r>
          </w:p>
        </w:tc>
        <w:tc>
          <w:tcPr>
            <w:tcW w:type="dxa" w:w="936"/>
          </w:tcPr>
          <w:p>
            <w:pPr>
              <w:spacing w:after="20" w:line="252" w:lineRule="auto"/>
              <w:jc w:val="center"/>
            </w:pPr>
            <w:r/>
            <w:r>
              <w:rPr>
                <w:rFonts w:ascii="Times New Roman" w:hAnsi="Times New Roman"/>
                <w:sz w:val="15"/>
              </w:rPr>
              <w:t>5.8%</w:t>
            </w:r>
          </w:p>
        </w:tc>
        <w:tc>
          <w:tcPr>
            <w:tcW w:type="dxa" w:w="864"/>
          </w:tcPr>
          <w:p>
            <w:pPr>
              <w:spacing w:after="20" w:line="252" w:lineRule="auto"/>
              <w:jc w:val="center"/>
            </w:pPr>
            <w:r/>
            <w:r>
              <w:rPr>
                <w:rFonts w:ascii="Times New Roman" w:hAnsi="Times New Roman"/>
                <w:sz w:val="15"/>
              </w:rPr>
              <w:t>13.1%</w:t>
            </w:r>
          </w:p>
        </w:tc>
        <w:tc>
          <w:tcPr>
            <w:tcW w:type="dxa" w:w="720"/>
          </w:tcPr>
          <w:p>
            <w:pPr>
              <w:spacing w:after="20" w:line="252" w:lineRule="auto"/>
              <w:jc w:val="center"/>
            </w:pPr>
            <w:r/>
            <w:r>
              <w:rPr>
                <w:rFonts w:ascii="Times New Roman" w:hAnsi="Times New Roman"/>
                <w:sz w:val="15"/>
              </w:rPr>
              <w:t>0.35</w:t>
            </w:r>
          </w:p>
        </w:tc>
        <w:tc>
          <w:tcPr>
            <w:tcW w:type="dxa" w:w="864"/>
          </w:tcPr>
          <w:p>
            <w:pPr>
              <w:spacing w:after="20" w:line="252" w:lineRule="auto"/>
              <w:jc w:val="center"/>
            </w:pPr>
            <w:r/>
            <w:r>
              <w:rPr>
                <w:rFonts w:ascii="Times New Roman" w:hAnsi="Times New Roman"/>
                <w:sz w:val="15"/>
              </w:rPr>
              <w:t>-23.8%</w:t>
            </w:r>
          </w:p>
        </w:tc>
        <w:tc>
          <w:tcPr>
            <w:tcW w:type="dxa" w:w="720"/>
          </w:tcPr>
          <w:p>
            <w:pPr>
              <w:spacing w:after="20" w:line="252" w:lineRule="auto"/>
              <w:jc w:val="center"/>
            </w:pPr>
            <w:r/>
            <w:r>
              <w:rPr>
                <w:rFonts w:ascii="Times New Roman" w:hAnsi="Times New Roman"/>
                <w:sz w:val="15"/>
              </w:rPr>
              <w:t>0.24</w:t>
            </w:r>
          </w:p>
        </w:tc>
        <w:tc>
          <w:tcPr>
            <w:tcW w:type="dxa" w:w="792"/>
          </w:tcPr>
          <w:p>
            <w:pPr>
              <w:spacing w:after="20" w:line="252" w:lineRule="auto"/>
              <w:jc w:val="center"/>
            </w:pPr>
            <w:r/>
            <w:r>
              <w:rPr>
                <w:rFonts w:ascii="Times New Roman" w:hAnsi="Times New Roman"/>
                <w:sz w:val="15"/>
              </w:rPr>
              <w:t>0.27</w:t>
            </w:r>
          </w:p>
        </w:tc>
      </w:tr>
      <w:tr>
        <w:tc>
          <w:tcPr>
            <w:tcW w:type="dxa" w:w="1656"/>
          </w:tcPr>
          <w:p>
            <w:pPr>
              <w:spacing w:after="20" w:line="252" w:lineRule="auto"/>
              <w:jc w:val="left"/>
            </w:pPr>
            <w:r/>
            <w:r>
              <w:rPr>
                <w:rFonts w:ascii="Times New Roman" w:hAnsi="Times New Roman"/>
                <w:sz w:val="15"/>
              </w:rPr>
              <w:t>COVID-19</w:t>
            </w:r>
          </w:p>
        </w:tc>
        <w:tc>
          <w:tcPr>
            <w:tcW w:type="dxa" w:w="1368"/>
          </w:tcPr>
          <w:p>
            <w:pPr>
              <w:spacing w:after="20" w:line="252" w:lineRule="auto"/>
              <w:jc w:val="left"/>
            </w:pPr>
            <w:r/>
            <w:r>
              <w:rPr>
                <w:rFonts w:ascii="Times New Roman" w:hAnsi="Times New Roman"/>
                <w:sz w:val="15"/>
              </w:rPr>
              <w:t>Equal-Weight</w:t>
            </w:r>
          </w:p>
        </w:tc>
        <w:tc>
          <w:tcPr>
            <w:tcW w:type="dxa" w:w="936"/>
          </w:tcPr>
          <w:p>
            <w:pPr>
              <w:spacing w:after="20" w:line="252" w:lineRule="auto"/>
              <w:jc w:val="center"/>
            </w:pPr>
            <w:r/>
            <w:r>
              <w:rPr>
                <w:rFonts w:ascii="Times New Roman" w:hAnsi="Times New Roman"/>
                <w:sz w:val="15"/>
              </w:rPr>
              <w:t>34.6%</w:t>
            </w:r>
          </w:p>
        </w:tc>
        <w:tc>
          <w:tcPr>
            <w:tcW w:type="dxa" w:w="936"/>
          </w:tcPr>
          <w:p>
            <w:pPr>
              <w:spacing w:after="20" w:line="252" w:lineRule="auto"/>
              <w:jc w:val="center"/>
            </w:pPr>
            <w:r/>
            <w:r>
              <w:rPr>
                <w:rFonts w:ascii="Times New Roman" w:hAnsi="Times New Roman"/>
                <w:sz w:val="15"/>
              </w:rPr>
              <w:t>17.2%</w:t>
            </w:r>
          </w:p>
        </w:tc>
        <w:tc>
          <w:tcPr>
            <w:tcW w:type="dxa" w:w="864"/>
          </w:tcPr>
          <w:p>
            <w:pPr>
              <w:spacing w:after="20" w:line="252" w:lineRule="auto"/>
              <w:jc w:val="center"/>
            </w:pPr>
            <w:r/>
            <w:r>
              <w:rPr>
                <w:rFonts w:ascii="Times New Roman" w:hAnsi="Times New Roman"/>
                <w:sz w:val="15"/>
              </w:rPr>
              <w:t>14.4%</w:t>
            </w:r>
          </w:p>
        </w:tc>
        <w:tc>
          <w:tcPr>
            <w:tcW w:type="dxa" w:w="720"/>
          </w:tcPr>
          <w:p>
            <w:pPr>
              <w:spacing w:after="20" w:line="252" w:lineRule="auto"/>
              <w:jc w:val="center"/>
            </w:pPr>
            <w:r/>
            <w:r>
              <w:rPr>
                <w:rFonts w:ascii="Times New Roman" w:hAnsi="Times New Roman"/>
                <w:sz w:val="15"/>
              </w:rPr>
              <w:t>1.03</w:t>
            </w:r>
          </w:p>
        </w:tc>
        <w:tc>
          <w:tcPr>
            <w:tcW w:type="dxa" w:w="864"/>
          </w:tcPr>
          <w:p>
            <w:pPr>
              <w:spacing w:after="20" w:line="252" w:lineRule="auto"/>
              <w:jc w:val="center"/>
            </w:pPr>
            <w:r/>
            <w:r>
              <w:rPr>
                <w:rFonts w:ascii="Times New Roman" w:hAnsi="Times New Roman"/>
                <w:sz w:val="15"/>
              </w:rPr>
              <w:t>-15.4%</w:t>
            </w:r>
          </w:p>
        </w:tc>
        <w:tc>
          <w:tcPr>
            <w:tcW w:type="dxa" w:w="720"/>
          </w:tcPr>
          <w:p>
            <w:pPr>
              <w:spacing w:after="20" w:line="252" w:lineRule="auto"/>
              <w:jc w:val="center"/>
            </w:pPr>
            <w:r/>
            <w:r>
              <w:rPr>
                <w:rFonts w:ascii="Times New Roman" w:hAnsi="Times New Roman"/>
                <w:sz w:val="15"/>
              </w:rPr>
              <w:t>1.11</w:t>
            </w:r>
          </w:p>
        </w:tc>
        <w:tc>
          <w:tcPr>
            <w:tcW w:type="dxa" w:w="792"/>
          </w:tcPr>
          <w:p>
            <w:pPr>
              <w:spacing w:after="20" w:line="252" w:lineRule="auto"/>
              <w:jc w:val="center"/>
            </w:pPr>
            <w:r/>
            <w:r>
              <w:rPr>
                <w:rFonts w:ascii="Times New Roman" w:hAnsi="Times New Roman"/>
                <w:sz w:val="15"/>
              </w:rPr>
              <w:t>0.00</w:t>
            </w:r>
          </w:p>
        </w:tc>
      </w:tr>
      <w:tr>
        <w:tc>
          <w:tcPr>
            <w:tcW w:type="dxa" w:w="1656"/>
          </w:tcPr>
          <w:p>
            <w:pPr>
              <w:spacing w:after="20" w:line="252" w:lineRule="auto"/>
              <w:jc w:val="left"/>
            </w:pPr>
            <w:r/>
            <w:r>
              <w:rPr>
                <w:rFonts w:ascii="Times New Roman" w:hAnsi="Times New Roman"/>
                <w:b/>
                <w:sz w:val="15"/>
              </w:rPr>
            </w:r>
          </w:p>
        </w:tc>
        <w:tc>
          <w:tcPr>
            <w:tcW w:type="dxa" w:w="1368"/>
          </w:tcPr>
          <w:p>
            <w:pPr>
              <w:spacing w:after="20" w:line="252" w:lineRule="auto"/>
              <w:jc w:val="left"/>
            </w:pPr>
            <w:r/>
            <w:r>
              <w:rPr>
                <w:rFonts w:ascii="Times New Roman" w:hAnsi="Times New Roman"/>
                <w:b/>
                <w:sz w:val="15"/>
              </w:rPr>
              <w:t>Mean-Variance</w:t>
            </w:r>
          </w:p>
        </w:tc>
        <w:tc>
          <w:tcPr>
            <w:tcW w:type="dxa" w:w="936"/>
          </w:tcPr>
          <w:p>
            <w:pPr>
              <w:spacing w:after="20" w:line="252" w:lineRule="auto"/>
              <w:jc w:val="center"/>
            </w:pPr>
            <w:r/>
            <w:r>
              <w:rPr>
                <w:rFonts w:ascii="Times New Roman" w:hAnsi="Times New Roman"/>
                <w:b/>
                <w:sz w:val="15"/>
              </w:rPr>
              <w:t>40.1%</w:t>
            </w:r>
          </w:p>
        </w:tc>
        <w:tc>
          <w:tcPr>
            <w:tcW w:type="dxa" w:w="936"/>
          </w:tcPr>
          <w:p>
            <w:pPr>
              <w:spacing w:after="20" w:line="252" w:lineRule="auto"/>
              <w:jc w:val="center"/>
            </w:pPr>
            <w:r/>
            <w:r>
              <w:rPr>
                <w:rFonts w:ascii="Times New Roman" w:hAnsi="Times New Roman"/>
                <w:b/>
                <w:sz w:val="15"/>
              </w:rPr>
              <w:t>19.7%</w:t>
            </w:r>
          </w:p>
        </w:tc>
        <w:tc>
          <w:tcPr>
            <w:tcW w:type="dxa" w:w="864"/>
          </w:tcPr>
          <w:p>
            <w:pPr>
              <w:spacing w:after="20" w:line="252" w:lineRule="auto"/>
              <w:jc w:val="center"/>
            </w:pPr>
            <w:r/>
            <w:r>
              <w:rPr>
                <w:rFonts w:ascii="Times New Roman" w:hAnsi="Times New Roman"/>
                <w:b/>
                <w:sz w:val="15"/>
              </w:rPr>
              <w:t>14.9%</w:t>
            </w:r>
          </w:p>
        </w:tc>
        <w:tc>
          <w:tcPr>
            <w:tcW w:type="dxa" w:w="720"/>
          </w:tcPr>
          <w:p>
            <w:pPr>
              <w:spacing w:after="20" w:line="252" w:lineRule="auto"/>
              <w:jc w:val="center"/>
            </w:pPr>
            <w:r/>
            <w:r>
              <w:rPr>
                <w:rFonts w:ascii="Times New Roman" w:hAnsi="Times New Roman"/>
                <w:b/>
                <w:sz w:val="15"/>
              </w:rPr>
              <w:t>1.15</w:t>
            </w:r>
          </w:p>
        </w:tc>
        <w:tc>
          <w:tcPr>
            <w:tcW w:type="dxa" w:w="864"/>
          </w:tcPr>
          <w:p>
            <w:pPr>
              <w:spacing w:after="20" w:line="252" w:lineRule="auto"/>
              <w:jc w:val="center"/>
            </w:pPr>
            <w:r/>
            <w:r>
              <w:rPr>
                <w:rFonts w:ascii="Times New Roman" w:hAnsi="Times New Roman"/>
                <w:b/>
                <w:sz w:val="15"/>
              </w:rPr>
              <w:t>-12.4%</w:t>
            </w:r>
          </w:p>
        </w:tc>
        <w:tc>
          <w:tcPr>
            <w:tcW w:type="dxa" w:w="720"/>
          </w:tcPr>
          <w:p>
            <w:pPr>
              <w:spacing w:after="20" w:line="252" w:lineRule="auto"/>
              <w:jc w:val="center"/>
            </w:pPr>
            <w:r/>
            <w:r>
              <w:rPr>
                <w:rFonts w:ascii="Times New Roman" w:hAnsi="Times New Roman"/>
                <w:b/>
                <w:sz w:val="15"/>
              </w:rPr>
              <w:t>1.58</w:t>
            </w:r>
          </w:p>
        </w:tc>
        <w:tc>
          <w:tcPr>
            <w:tcW w:type="dxa" w:w="792"/>
          </w:tcPr>
          <w:p>
            <w:pPr>
              <w:spacing w:after="20" w:line="252" w:lineRule="auto"/>
              <w:jc w:val="center"/>
            </w:pPr>
            <w:r/>
            <w:r>
              <w:rPr>
                <w:rFonts w:ascii="Times New Roman" w:hAnsi="Times New Roman"/>
                <w:b/>
                <w:sz w:val="15"/>
              </w:rPr>
              <w:t>0.72</w:t>
            </w:r>
          </w:p>
        </w:tc>
      </w:tr>
      <w:tr>
        <w:tc>
          <w:tcPr>
            <w:tcW w:type="dxa" w:w="1656"/>
            <w:tcBorders>
              <w:bottom w:val="single" w:sz="10" w:color="000000"/>
            </w:tcBorders>
          </w:tcPr>
          <w:p>
            <w:pPr>
              <w:spacing w:after="20" w:line="252" w:lineRule="auto"/>
              <w:jc w:val="left"/>
            </w:pPr>
            <w:r/>
          </w:p>
        </w:tc>
        <w:tc>
          <w:tcPr>
            <w:tcW w:type="dxa" w:w="1368"/>
            <w:tcBorders>
              <w:bottom w:val="single" w:sz="10" w:color="000000"/>
            </w:tcBorders>
          </w:tcPr>
          <w:p>
            <w:pPr>
              <w:spacing w:after="20" w:line="252" w:lineRule="auto"/>
              <w:jc w:val="left"/>
            </w:pPr>
            <w:r/>
            <w:r>
              <w:rPr>
                <w:rFonts w:ascii="Times New Roman" w:hAnsi="Times New Roman"/>
                <w:sz w:val="15"/>
              </w:rPr>
              <w:t>Adaptive (ES)</w:t>
            </w:r>
          </w:p>
        </w:tc>
        <w:tc>
          <w:tcPr>
            <w:tcW w:type="dxa" w:w="936"/>
            <w:tcBorders>
              <w:bottom w:val="single" w:sz="10" w:color="000000"/>
            </w:tcBorders>
          </w:tcPr>
          <w:p>
            <w:pPr>
              <w:spacing w:after="20" w:line="252" w:lineRule="auto"/>
              <w:jc w:val="center"/>
            </w:pPr>
            <w:r/>
            <w:r>
              <w:rPr>
                <w:rFonts w:ascii="Times New Roman" w:hAnsi="Times New Roman"/>
                <w:sz w:val="15"/>
              </w:rPr>
              <w:t>33.9%</w:t>
            </w:r>
          </w:p>
        </w:tc>
        <w:tc>
          <w:tcPr>
            <w:tcW w:type="dxa" w:w="936"/>
            <w:tcBorders>
              <w:bottom w:val="single" w:sz="10" w:color="000000"/>
            </w:tcBorders>
          </w:tcPr>
          <w:p>
            <w:pPr>
              <w:spacing w:after="20" w:line="252" w:lineRule="auto"/>
              <w:jc w:val="center"/>
            </w:pPr>
            <w:r/>
            <w:r>
              <w:rPr>
                <w:rFonts w:ascii="Times New Roman" w:hAnsi="Times New Roman"/>
                <w:sz w:val="15"/>
              </w:rPr>
              <w:t>16.8%</w:t>
            </w:r>
          </w:p>
        </w:tc>
        <w:tc>
          <w:tcPr>
            <w:tcW w:type="dxa" w:w="864"/>
            <w:tcBorders>
              <w:bottom w:val="single" w:sz="10" w:color="000000"/>
            </w:tcBorders>
          </w:tcPr>
          <w:p>
            <w:pPr>
              <w:spacing w:after="20" w:line="252" w:lineRule="auto"/>
              <w:jc w:val="center"/>
            </w:pPr>
            <w:r/>
            <w:r>
              <w:rPr>
                <w:rFonts w:ascii="Times New Roman" w:hAnsi="Times New Roman"/>
                <w:sz w:val="15"/>
              </w:rPr>
              <w:t>13.9%</w:t>
            </w:r>
          </w:p>
        </w:tc>
        <w:tc>
          <w:tcPr>
            <w:tcW w:type="dxa" w:w="720"/>
            <w:tcBorders>
              <w:bottom w:val="single" w:sz="10" w:color="000000"/>
            </w:tcBorders>
          </w:tcPr>
          <w:p>
            <w:pPr>
              <w:spacing w:after="20" w:line="252" w:lineRule="auto"/>
              <w:jc w:val="center"/>
            </w:pPr>
            <w:r/>
            <w:r>
              <w:rPr>
                <w:rFonts w:ascii="Times New Roman" w:hAnsi="Times New Roman"/>
                <w:sz w:val="15"/>
              </w:rPr>
              <w:t>1.04</w:t>
            </w:r>
          </w:p>
        </w:tc>
        <w:tc>
          <w:tcPr>
            <w:tcW w:type="dxa" w:w="864"/>
            <w:tcBorders>
              <w:bottom w:val="single" w:sz="10" w:color="000000"/>
            </w:tcBorders>
          </w:tcPr>
          <w:p>
            <w:pPr>
              <w:spacing w:after="20" w:line="252" w:lineRule="auto"/>
              <w:jc w:val="center"/>
            </w:pPr>
            <w:r/>
            <w:r>
              <w:rPr>
                <w:rFonts w:ascii="Times New Roman" w:hAnsi="Times New Roman"/>
                <w:sz w:val="15"/>
              </w:rPr>
              <w:t>-13.1%</w:t>
            </w:r>
          </w:p>
        </w:tc>
        <w:tc>
          <w:tcPr>
            <w:tcW w:type="dxa" w:w="720"/>
            <w:tcBorders>
              <w:bottom w:val="single" w:sz="10" w:color="000000"/>
            </w:tcBorders>
          </w:tcPr>
          <w:p>
            <w:pPr>
              <w:spacing w:after="20" w:line="252" w:lineRule="auto"/>
              <w:jc w:val="center"/>
            </w:pPr>
            <w:r/>
            <w:r>
              <w:rPr>
                <w:rFonts w:ascii="Times New Roman" w:hAnsi="Times New Roman"/>
                <w:sz w:val="15"/>
              </w:rPr>
              <w:t>1.28</w:t>
            </w:r>
          </w:p>
        </w:tc>
        <w:tc>
          <w:tcPr>
            <w:tcW w:type="dxa" w:w="792"/>
            <w:tcBorders>
              <w:bottom w:val="single" w:sz="10" w:color="000000"/>
            </w:tcBorders>
          </w:tcPr>
          <w:p>
            <w:pPr>
              <w:spacing w:after="20" w:line="252" w:lineRule="auto"/>
              <w:jc w:val="center"/>
            </w:pPr>
            <w:r/>
            <w:r>
              <w:rPr>
                <w:rFonts w:ascii="Times New Roman" w:hAnsi="Times New Roman"/>
                <w:sz w:val="15"/>
              </w:rPr>
              <w:t>0.72</w:t>
            </w:r>
          </w:p>
        </w:tc>
      </w:tr>
    </w:tbl>
    <w:p>
      <w:pPr>
        <w:spacing w:after="80"/>
      </w:pPr>
    </w:p>
    <w:p>
      <w:pPr>
        <w:keepNext/>
        <w:spacing w:after="60"/>
        <w:jc w:val="center"/>
      </w:pPr>
      <w:r>
        <w:drawing>
          <wp:inline xmlns:a="http://schemas.openxmlformats.org/drawingml/2006/main" xmlns:pic="http://schemas.openxmlformats.org/drawingml/2006/picture">
            <wp:extent cx="5669280" cy="4290266"/>
            <wp:docPr id="21" name="Picture 21"/>
            <wp:cNvGraphicFramePr>
              <a:graphicFrameLocks noChangeAspect="1"/>
            </wp:cNvGraphicFramePr>
            <a:graphic>
              <a:graphicData uri="http://schemas.openxmlformats.org/drawingml/2006/picture">
                <pic:pic>
                  <pic:nvPicPr>
                    <pic:cNvPr id="0" name="fig_backtest_curves.png"/>
                    <pic:cNvPicPr/>
                  </pic:nvPicPr>
                  <pic:blipFill>
                    <a:blip r:embed="rId30"/>
                    <a:stretch>
                      <a:fillRect/>
                    </a:stretch>
                  </pic:blipFill>
                  <pic:spPr>
                    <a:xfrm>
                      <a:off x="0" y="0"/>
                      <a:ext cx="5669280" cy="4290266"/>
                    </a:xfrm>
                    <a:prstGeom prst="rect"/>
                  </pic:spPr>
                </pic:pic>
              </a:graphicData>
            </a:graphic>
          </wp:inline>
        </w:drawing>
      </w:r>
    </w:p>
    <w:p>
      <w:pPr>
        <w:spacing w:after="200"/>
        <w:jc w:val="both"/>
      </w:pPr>
      <w:r>
        <w:rPr>
          <w:rFonts w:ascii="Times New Roman" w:hAnsi="Times New Roman"/>
          <w:b/>
          <w:sz w:val="19"/>
        </w:rPr>
        <w:t xml:space="preserve">Fig. 10. </w:t>
      </w:r>
      <w:r>
        <w:rPr>
          <w:rFonts w:ascii="Times New Roman" w:hAnsi="Times New Roman"/>
          <w:sz w:val="19"/>
        </w:rPr>
        <w:t>Walk-forward portfolio value for the three strategies in the four settings. Dashed line: train/test split; shaded: known crisis window.</w:t>
      </w:r>
    </w:p>
    <w:p>
      <w:pPr>
        <w:keepNext/>
        <w:spacing w:after="60"/>
        <w:jc w:val="center"/>
      </w:pPr>
      <w:r>
        <w:drawing>
          <wp:inline xmlns:a="http://schemas.openxmlformats.org/drawingml/2006/main" xmlns:pic="http://schemas.openxmlformats.org/drawingml/2006/picture">
            <wp:extent cx="5669280" cy="2221745"/>
            <wp:docPr id="22" name="Picture 22"/>
            <wp:cNvGraphicFramePr>
              <a:graphicFrameLocks noChangeAspect="1"/>
            </wp:cNvGraphicFramePr>
            <a:graphic>
              <a:graphicData uri="http://schemas.openxmlformats.org/drawingml/2006/picture">
                <pic:pic>
                  <pic:nvPicPr>
                    <pic:cNvPr id="0" name="fig_metrics_bars.png"/>
                    <pic:cNvPicPr/>
                  </pic:nvPicPr>
                  <pic:blipFill>
                    <a:blip r:embed="rId31"/>
                    <a:stretch>
                      <a:fillRect/>
                    </a:stretch>
                  </pic:blipFill>
                  <pic:spPr>
                    <a:xfrm>
                      <a:off x="0" y="0"/>
                      <a:ext cx="5669280" cy="2221745"/>
                    </a:xfrm>
                    <a:prstGeom prst="rect"/>
                  </pic:spPr>
                </pic:pic>
              </a:graphicData>
            </a:graphic>
          </wp:inline>
        </w:drawing>
      </w:r>
    </w:p>
    <w:p>
      <w:pPr>
        <w:spacing w:after="200"/>
        <w:jc w:val="both"/>
      </w:pPr>
      <w:r>
        <w:rPr>
          <w:rFonts w:ascii="Times New Roman" w:hAnsi="Times New Roman"/>
          <w:b/>
          <w:sz w:val="19"/>
        </w:rPr>
        <w:t xml:space="preserve">Fig. 11. </w:t>
      </w:r>
      <w:r>
        <w:rPr>
          <w:rFonts w:ascii="Times New Roman" w:hAnsi="Times New Roman"/>
          <w:sz w:val="19"/>
        </w:rPr>
        <w:t>Out-of-sample Sharpe ratio, maximum drawdown and annualised volatility by setting and strategy.</w:t>
      </w:r>
    </w:p>
    <w:p>
      <w:pPr>
        <w:keepNext/>
        <w:spacing w:after="60"/>
        <w:jc w:val="center"/>
      </w:pPr>
      <w:r>
        <w:drawing>
          <wp:inline xmlns:a="http://schemas.openxmlformats.org/drawingml/2006/main" xmlns:pic="http://schemas.openxmlformats.org/drawingml/2006/picture">
            <wp:extent cx="5669280" cy="4749937"/>
            <wp:docPr id="23" name="Picture 23"/>
            <wp:cNvGraphicFramePr>
              <a:graphicFrameLocks noChangeAspect="1"/>
            </wp:cNvGraphicFramePr>
            <a:graphic>
              <a:graphicData uri="http://schemas.openxmlformats.org/drawingml/2006/picture">
                <pic:pic>
                  <pic:nvPicPr>
                    <pic:cNvPr id="0" name="fig_allocations.png"/>
                    <pic:cNvPicPr/>
                  </pic:nvPicPr>
                  <pic:blipFill>
                    <a:blip r:embed="rId32"/>
                    <a:stretch>
                      <a:fillRect/>
                    </a:stretch>
                  </pic:blipFill>
                  <pic:spPr>
                    <a:xfrm>
                      <a:off x="0" y="0"/>
                      <a:ext cx="5669280" cy="4749937"/>
                    </a:xfrm>
                    <a:prstGeom prst="rect"/>
                  </pic:spPr>
                </pic:pic>
              </a:graphicData>
            </a:graphic>
          </wp:inline>
        </w:drawing>
      </w:r>
    </w:p>
    <w:p>
      <w:pPr>
        <w:spacing w:after="200"/>
        <w:jc w:val="both"/>
      </w:pPr>
      <w:r>
        <w:rPr>
          <w:rFonts w:ascii="Times New Roman" w:hAnsi="Times New Roman"/>
          <w:b/>
          <w:sz w:val="19"/>
        </w:rPr>
        <w:t xml:space="preserve">Fig. 12. </w:t>
      </w:r>
      <w:r>
        <w:rPr>
          <w:rFonts w:ascii="Times New Roman" w:hAnsi="Times New Roman"/>
          <w:sz w:val="19"/>
        </w:rPr>
        <w:t>Adaptive-policy weights over time (seed 42). In the 2008 GFC the policy moves almost entirely to long Treasuries (TLT) in late 2008 (a flight-to-quality response) but in the corrected dot-com setting it alternates between QQQ and bonds.</w:t>
      </w:r>
    </w:p>
    <w:p>
      <w:pPr>
        <w:pStyle w:val="Heading2"/>
      </w:pPr>
      <w:r>
        <w:t>4.2 Tables, graphs and figures</w:t>
      </w:r>
    </w:p>
    <w:p>
      <w:pPr>
        <w:keepNext w:val="0"/>
        <w:spacing w:after="120"/>
        <w:jc w:val="both"/>
      </w:pPr>
      <w:r>
        <w:rPr>
          <w:rFonts w:ascii="Times New Roman" w:hAnsi="Times New Roman"/>
        </w:rPr>
        <w:t>The figures referred to above are generated by scripts in the repository (paper/scripts) from the saved experiment outputs (paper/results), so every number in the tables is reproducible with the commands in Appendix B. Appendix A reproduces the dashboard’s three tabs, in which the same tables and charts (value curves, metrics table, allocation chart, HMM regimes and the comparison report) are interactive.</w:t>
      </w:r>
    </w:p>
    <w:p>
      <w:pPr>
        <w:pStyle w:val="Heading2"/>
      </w:pPr>
      <w:r>
        <w:t>4.3 Criterion-wise analysis</w:t>
      </w:r>
    </w:p>
    <w:p>
      <w:pPr>
        <w:keepNext/>
        <w:spacing w:after="60" w:before="160"/>
      </w:pPr>
      <w:r>
        <w:rPr>
          <w:rFonts w:ascii="Times New Roman" w:hAnsi="Times New Roman"/>
          <w:b/>
          <w:sz w:val="19"/>
        </w:rPr>
        <w:t xml:space="preserve">Table 9. </w:t>
      </w:r>
      <w:r>
        <w:rPr>
          <w:rFonts w:ascii="Times New Roman" w:hAnsi="Times New Roman"/>
          <w:sz w:val="19"/>
        </w:rPr>
        <w:t>Best strategy per criterion and setting on the test segment (seed-42 run). EW = Equal-Weight, MV = Mean-Variance, AD = Adaptive.</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2880"/>
            <w:tcBorders>
              <w:top w:val="single" w:sz="10" w:color="000000"/>
              <w:bottom w:val="single" w:sz="6" w:color="000000"/>
            </w:tcBorders>
          </w:tcPr>
          <w:p>
            <w:pPr>
              <w:spacing w:after="20"/>
              <w:jc w:val="left"/>
            </w:pPr>
            <w:r/>
            <w:r>
              <w:rPr>
                <w:rFonts w:ascii="Times New Roman" w:hAnsi="Times New Roman"/>
                <w:b/>
                <w:sz w:val="16"/>
              </w:rPr>
              <w:t>Criterion</w:t>
            </w:r>
          </w:p>
        </w:tc>
        <w:tc>
          <w:tcPr>
            <w:tcW w:type="dxa" w:w="1584"/>
            <w:tcBorders>
              <w:top w:val="single" w:sz="10" w:color="000000"/>
              <w:bottom w:val="single" w:sz="6" w:color="000000"/>
            </w:tcBorders>
          </w:tcPr>
          <w:p>
            <w:pPr>
              <w:spacing w:after="20"/>
              <w:jc w:val="center"/>
            </w:pPr>
            <w:r/>
            <w:r>
              <w:rPr>
                <w:rFonts w:ascii="Times New Roman" w:hAnsi="Times New Roman"/>
                <w:b/>
                <w:sz w:val="16"/>
              </w:rPr>
              <w:t>Dot-com (as deployed)</w:t>
            </w:r>
          </w:p>
        </w:tc>
        <w:tc>
          <w:tcPr>
            <w:tcW w:type="dxa" w:w="1584"/>
            <w:tcBorders>
              <w:top w:val="single" w:sz="10" w:color="000000"/>
              <w:bottom w:val="single" w:sz="6" w:color="000000"/>
            </w:tcBorders>
          </w:tcPr>
          <w:p>
            <w:pPr>
              <w:spacing w:after="20"/>
              <w:jc w:val="center"/>
            </w:pPr>
            <w:r/>
            <w:r>
              <w:rPr>
                <w:rFonts w:ascii="Times New Roman" w:hAnsi="Times New Roman"/>
                <w:b/>
                <w:sz w:val="16"/>
              </w:rPr>
              <w:t>Dot-com (corrected)</w:t>
            </w:r>
          </w:p>
        </w:tc>
        <w:tc>
          <w:tcPr>
            <w:tcW w:type="dxa" w:w="1584"/>
            <w:tcBorders>
              <w:top w:val="single" w:sz="10" w:color="000000"/>
              <w:bottom w:val="single" w:sz="6" w:color="000000"/>
            </w:tcBorders>
          </w:tcPr>
          <w:p>
            <w:pPr>
              <w:spacing w:after="20"/>
              <w:jc w:val="center"/>
            </w:pPr>
            <w:r/>
            <w:r>
              <w:rPr>
                <w:rFonts w:ascii="Times New Roman" w:hAnsi="Times New Roman"/>
                <w:b/>
                <w:sz w:val="16"/>
              </w:rPr>
              <w:t>2008 GFC</w:t>
            </w:r>
          </w:p>
        </w:tc>
        <w:tc>
          <w:tcPr>
            <w:tcW w:type="dxa" w:w="1584"/>
            <w:tcBorders>
              <w:top w:val="single" w:sz="10" w:color="000000"/>
              <w:bottom w:val="single" w:sz="6" w:color="000000"/>
            </w:tcBorders>
          </w:tcPr>
          <w:p>
            <w:pPr>
              <w:spacing w:after="20"/>
              <w:jc w:val="center"/>
            </w:pPr>
            <w:r/>
            <w:r>
              <w:rPr>
                <w:rFonts w:ascii="Times New Roman" w:hAnsi="Times New Roman"/>
                <w:b/>
                <w:sz w:val="16"/>
              </w:rPr>
              <w:t>COVID-19</w:t>
            </w:r>
          </w:p>
        </w:tc>
      </w:tr>
      <w:tr>
        <w:tc>
          <w:tcPr>
            <w:tcW w:type="dxa" w:w="2880"/>
          </w:tcPr>
          <w:p>
            <w:pPr>
              <w:spacing w:after="20" w:line="252" w:lineRule="auto"/>
              <w:jc w:val="left"/>
            </w:pPr>
            <w:r/>
            <w:r>
              <w:rPr>
                <w:rFonts w:ascii="Times New Roman" w:hAnsi="Times New Roman"/>
                <w:sz w:val="16"/>
              </w:rPr>
              <w:t>Total return</w:t>
            </w:r>
          </w:p>
        </w:tc>
        <w:tc>
          <w:tcPr>
            <w:tcW w:type="dxa" w:w="1584"/>
          </w:tcPr>
          <w:p>
            <w:pPr>
              <w:spacing w:after="20" w:line="252" w:lineRule="auto"/>
              <w:jc w:val="center"/>
            </w:pPr>
            <w:r/>
            <w:r>
              <w:rPr>
                <w:rFonts w:ascii="Times New Roman" w:hAnsi="Times New Roman"/>
                <w:sz w:val="16"/>
              </w:rPr>
              <w:t>AD</w:t>
            </w:r>
          </w:p>
        </w:tc>
        <w:tc>
          <w:tcPr>
            <w:tcW w:type="dxa" w:w="1584"/>
          </w:tcPr>
          <w:p>
            <w:pPr>
              <w:spacing w:after="20" w:line="252" w:lineRule="auto"/>
              <w:jc w:val="center"/>
            </w:pPr>
            <w:r/>
            <w:r>
              <w:rPr>
                <w:rFonts w:ascii="Times New Roman" w:hAnsi="Times New Roman"/>
                <w:sz w:val="16"/>
              </w:rPr>
              <w:t>MV</w:t>
            </w:r>
          </w:p>
        </w:tc>
        <w:tc>
          <w:tcPr>
            <w:tcW w:type="dxa" w:w="1584"/>
          </w:tcPr>
          <w:p>
            <w:pPr>
              <w:spacing w:after="20" w:line="252" w:lineRule="auto"/>
              <w:jc w:val="center"/>
            </w:pPr>
            <w:r/>
            <w:r>
              <w:rPr>
                <w:rFonts w:ascii="Times New Roman" w:hAnsi="Times New Roman"/>
                <w:sz w:val="16"/>
              </w:rPr>
              <w:t>MV</w:t>
            </w:r>
          </w:p>
        </w:tc>
        <w:tc>
          <w:tcPr>
            <w:tcW w:type="dxa" w:w="1584"/>
          </w:tcPr>
          <w:p>
            <w:pPr>
              <w:spacing w:after="20" w:line="252" w:lineRule="auto"/>
              <w:jc w:val="center"/>
            </w:pPr>
            <w:r/>
            <w:r>
              <w:rPr>
                <w:rFonts w:ascii="Times New Roman" w:hAnsi="Times New Roman"/>
                <w:sz w:val="16"/>
              </w:rPr>
              <w:t>MV</w:t>
            </w:r>
          </w:p>
        </w:tc>
      </w:tr>
      <w:tr>
        <w:tc>
          <w:tcPr>
            <w:tcW w:type="dxa" w:w="2880"/>
          </w:tcPr>
          <w:p>
            <w:pPr>
              <w:spacing w:after="20" w:line="252" w:lineRule="auto"/>
              <w:jc w:val="left"/>
            </w:pPr>
            <w:r/>
            <w:r>
              <w:rPr>
                <w:rFonts w:ascii="Times New Roman" w:hAnsi="Times New Roman"/>
                <w:sz w:val="16"/>
              </w:rPr>
              <w:t>Annualised volatility (lowest)</w:t>
            </w:r>
          </w:p>
        </w:tc>
        <w:tc>
          <w:tcPr>
            <w:tcW w:type="dxa" w:w="1584"/>
          </w:tcPr>
          <w:p>
            <w:pPr>
              <w:spacing w:after="20" w:line="252" w:lineRule="auto"/>
              <w:jc w:val="center"/>
            </w:pPr>
            <w:r/>
            <w:r>
              <w:rPr>
                <w:rFonts w:ascii="Times New Roman" w:hAnsi="Times New Roman"/>
                <w:sz w:val="16"/>
              </w:rPr>
              <w:t>AD</w:t>
            </w:r>
          </w:p>
        </w:tc>
        <w:tc>
          <w:tcPr>
            <w:tcW w:type="dxa" w:w="1584"/>
          </w:tcPr>
          <w:p>
            <w:pPr>
              <w:spacing w:after="20" w:line="252" w:lineRule="auto"/>
              <w:jc w:val="center"/>
            </w:pPr>
            <w:r/>
            <w:r>
              <w:rPr>
                <w:rFonts w:ascii="Times New Roman" w:hAnsi="Times New Roman"/>
                <w:sz w:val="16"/>
              </w:rPr>
              <w:t>MV</w:t>
            </w:r>
          </w:p>
        </w:tc>
        <w:tc>
          <w:tcPr>
            <w:tcW w:type="dxa" w:w="1584"/>
          </w:tcPr>
          <w:p>
            <w:pPr>
              <w:spacing w:after="20" w:line="252" w:lineRule="auto"/>
              <w:jc w:val="center"/>
            </w:pPr>
            <w:r/>
            <w:r>
              <w:rPr>
                <w:rFonts w:ascii="Times New Roman" w:hAnsi="Times New Roman"/>
                <w:sz w:val="16"/>
              </w:rPr>
              <w:t>AD</w:t>
            </w:r>
          </w:p>
        </w:tc>
        <w:tc>
          <w:tcPr>
            <w:tcW w:type="dxa" w:w="1584"/>
          </w:tcPr>
          <w:p>
            <w:pPr>
              <w:spacing w:after="20" w:line="252" w:lineRule="auto"/>
              <w:jc w:val="center"/>
            </w:pPr>
            <w:r/>
            <w:r>
              <w:rPr>
                <w:rFonts w:ascii="Times New Roman" w:hAnsi="Times New Roman"/>
                <w:sz w:val="16"/>
              </w:rPr>
              <w:t>AD</w:t>
            </w:r>
          </w:p>
        </w:tc>
      </w:tr>
      <w:tr>
        <w:tc>
          <w:tcPr>
            <w:tcW w:type="dxa" w:w="2880"/>
          </w:tcPr>
          <w:p>
            <w:pPr>
              <w:spacing w:after="20" w:line="252" w:lineRule="auto"/>
              <w:jc w:val="left"/>
            </w:pPr>
            <w:r/>
            <w:r>
              <w:rPr>
                <w:rFonts w:ascii="Times New Roman" w:hAnsi="Times New Roman"/>
                <w:sz w:val="16"/>
              </w:rPr>
              <w:t>Sharpe ratio</w:t>
            </w:r>
          </w:p>
        </w:tc>
        <w:tc>
          <w:tcPr>
            <w:tcW w:type="dxa" w:w="1584"/>
          </w:tcPr>
          <w:p>
            <w:pPr>
              <w:spacing w:after="20" w:line="252" w:lineRule="auto"/>
              <w:jc w:val="center"/>
            </w:pPr>
            <w:r/>
            <w:r>
              <w:rPr>
                <w:rFonts w:ascii="Times New Roman" w:hAnsi="Times New Roman"/>
                <w:sz w:val="16"/>
              </w:rPr>
              <w:t>AD</w:t>
            </w:r>
          </w:p>
        </w:tc>
        <w:tc>
          <w:tcPr>
            <w:tcW w:type="dxa" w:w="1584"/>
          </w:tcPr>
          <w:p>
            <w:pPr>
              <w:spacing w:after="20" w:line="252" w:lineRule="auto"/>
              <w:jc w:val="center"/>
            </w:pPr>
            <w:r/>
            <w:r>
              <w:rPr>
                <w:rFonts w:ascii="Times New Roman" w:hAnsi="Times New Roman"/>
                <w:sz w:val="16"/>
              </w:rPr>
              <w:t>MV</w:t>
            </w:r>
          </w:p>
        </w:tc>
        <w:tc>
          <w:tcPr>
            <w:tcW w:type="dxa" w:w="1584"/>
          </w:tcPr>
          <w:p>
            <w:pPr>
              <w:spacing w:after="20" w:line="252" w:lineRule="auto"/>
              <w:jc w:val="center"/>
            </w:pPr>
            <w:r/>
            <w:r>
              <w:rPr>
                <w:rFonts w:ascii="Times New Roman" w:hAnsi="Times New Roman"/>
                <w:sz w:val="16"/>
              </w:rPr>
              <w:t>MV</w:t>
            </w:r>
          </w:p>
        </w:tc>
        <w:tc>
          <w:tcPr>
            <w:tcW w:type="dxa" w:w="1584"/>
          </w:tcPr>
          <w:p>
            <w:pPr>
              <w:spacing w:after="20" w:line="252" w:lineRule="auto"/>
              <w:jc w:val="center"/>
            </w:pPr>
            <w:r/>
            <w:r>
              <w:rPr>
                <w:rFonts w:ascii="Times New Roman" w:hAnsi="Times New Roman"/>
                <w:sz w:val="16"/>
              </w:rPr>
              <w:t>MV</w:t>
            </w:r>
          </w:p>
        </w:tc>
      </w:tr>
      <w:tr>
        <w:tc>
          <w:tcPr>
            <w:tcW w:type="dxa" w:w="2880"/>
          </w:tcPr>
          <w:p>
            <w:pPr>
              <w:spacing w:after="20" w:line="252" w:lineRule="auto"/>
              <w:jc w:val="left"/>
            </w:pPr>
            <w:r/>
            <w:r>
              <w:rPr>
                <w:rFonts w:ascii="Times New Roman" w:hAnsi="Times New Roman"/>
                <w:sz w:val="16"/>
              </w:rPr>
              <w:t>Max drawdown (shallowest)</w:t>
            </w:r>
          </w:p>
        </w:tc>
        <w:tc>
          <w:tcPr>
            <w:tcW w:type="dxa" w:w="1584"/>
          </w:tcPr>
          <w:p>
            <w:pPr>
              <w:spacing w:after="20" w:line="252" w:lineRule="auto"/>
              <w:jc w:val="center"/>
            </w:pPr>
            <w:r/>
            <w:r>
              <w:rPr>
                <w:rFonts w:ascii="Times New Roman" w:hAnsi="Times New Roman"/>
                <w:sz w:val="16"/>
              </w:rPr>
              <w:t>AD</w:t>
            </w:r>
          </w:p>
        </w:tc>
        <w:tc>
          <w:tcPr>
            <w:tcW w:type="dxa" w:w="1584"/>
          </w:tcPr>
          <w:p>
            <w:pPr>
              <w:spacing w:after="20" w:line="252" w:lineRule="auto"/>
              <w:jc w:val="center"/>
            </w:pPr>
            <w:r/>
            <w:r>
              <w:rPr>
                <w:rFonts w:ascii="Times New Roman" w:hAnsi="Times New Roman"/>
                <w:sz w:val="16"/>
              </w:rPr>
              <w:t>MV</w:t>
            </w:r>
          </w:p>
        </w:tc>
        <w:tc>
          <w:tcPr>
            <w:tcW w:type="dxa" w:w="1584"/>
          </w:tcPr>
          <w:p>
            <w:pPr>
              <w:spacing w:after="20" w:line="252" w:lineRule="auto"/>
              <w:jc w:val="center"/>
            </w:pPr>
            <w:r/>
            <w:r>
              <w:rPr>
                <w:rFonts w:ascii="Times New Roman" w:hAnsi="Times New Roman"/>
                <w:sz w:val="16"/>
              </w:rPr>
              <w:t>MV</w:t>
            </w:r>
          </w:p>
        </w:tc>
        <w:tc>
          <w:tcPr>
            <w:tcW w:type="dxa" w:w="1584"/>
          </w:tcPr>
          <w:p>
            <w:pPr>
              <w:spacing w:after="20" w:line="252" w:lineRule="auto"/>
              <w:jc w:val="center"/>
            </w:pPr>
            <w:r/>
            <w:r>
              <w:rPr>
                <w:rFonts w:ascii="Times New Roman" w:hAnsi="Times New Roman"/>
                <w:sz w:val="16"/>
              </w:rPr>
              <w:t>MV</w:t>
            </w:r>
          </w:p>
        </w:tc>
      </w:tr>
      <w:tr>
        <w:tc>
          <w:tcPr>
            <w:tcW w:type="dxa" w:w="2880"/>
            <w:tcBorders>
              <w:bottom w:val="single" w:sz="10" w:color="000000"/>
            </w:tcBorders>
          </w:tcPr>
          <w:p>
            <w:pPr>
              <w:spacing w:after="20" w:line="252" w:lineRule="auto"/>
              <w:jc w:val="left"/>
            </w:pPr>
            <w:r/>
            <w:r>
              <w:rPr>
                <w:rFonts w:ascii="Times New Roman" w:hAnsi="Times New Roman"/>
                <w:sz w:val="16"/>
              </w:rPr>
              <w:t>Calmar ratio</w:t>
            </w:r>
          </w:p>
        </w:tc>
        <w:tc>
          <w:tcPr>
            <w:tcW w:type="dxa" w:w="1584"/>
            <w:tcBorders>
              <w:bottom w:val="single" w:sz="10" w:color="000000"/>
            </w:tcBorders>
          </w:tcPr>
          <w:p>
            <w:pPr>
              <w:spacing w:after="20" w:line="252" w:lineRule="auto"/>
              <w:jc w:val="center"/>
            </w:pPr>
            <w:r/>
            <w:r>
              <w:rPr>
                <w:rFonts w:ascii="Times New Roman" w:hAnsi="Times New Roman"/>
                <w:sz w:val="16"/>
              </w:rPr>
              <w:t>AD</w:t>
            </w:r>
          </w:p>
        </w:tc>
        <w:tc>
          <w:tcPr>
            <w:tcW w:type="dxa" w:w="1584"/>
            <w:tcBorders>
              <w:bottom w:val="single" w:sz="10" w:color="000000"/>
            </w:tcBorders>
          </w:tcPr>
          <w:p>
            <w:pPr>
              <w:spacing w:after="20" w:line="252" w:lineRule="auto"/>
              <w:jc w:val="center"/>
            </w:pPr>
            <w:r/>
            <w:r>
              <w:rPr>
                <w:rFonts w:ascii="Times New Roman" w:hAnsi="Times New Roman"/>
                <w:sz w:val="16"/>
              </w:rPr>
              <w:t>MV</w:t>
            </w:r>
          </w:p>
        </w:tc>
        <w:tc>
          <w:tcPr>
            <w:tcW w:type="dxa" w:w="1584"/>
            <w:tcBorders>
              <w:bottom w:val="single" w:sz="10" w:color="000000"/>
            </w:tcBorders>
          </w:tcPr>
          <w:p>
            <w:pPr>
              <w:spacing w:after="20" w:line="252" w:lineRule="auto"/>
              <w:jc w:val="center"/>
            </w:pPr>
            <w:r/>
            <w:r>
              <w:rPr>
                <w:rFonts w:ascii="Times New Roman" w:hAnsi="Times New Roman"/>
                <w:sz w:val="16"/>
              </w:rPr>
              <w:t>MV</w:t>
            </w:r>
          </w:p>
        </w:tc>
        <w:tc>
          <w:tcPr>
            <w:tcW w:type="dxa" w:w="1584"/>
            <w:tcBorders>
              <w:bottom w:val="single" w:sz="10" w:color="000000"/>
            </w:tcBorders>
          </w:tcPr>
          <w:p>
            <w:pPr>
              <w:spacing w:after="20" w:line="252" w:lineRule="auto"/>
              <w:jc w:val="center"/>
            </w:pPr>
            <w:r/>
            <w:r>
              <w:rPr>
                <w:rFonts w:ascii="Times New Roman" w:hAnsi="Times New Roman"/>
                <w:sz w:val="16"/>
              </w:rPr>
              <w:t>MV</w:t>
            </w:r>
          </w:p>
        </w:tc>
      </w:tr>
    </w:tbl>
    <w:p>
      <w:pPr>
        <w:spacing w:after="80"/>
      </w:pPr>
    </w:p>
    <w:p>
      <w:pPr>
        <w:keepNext w:val="0"/>
        <w:spacing w:after="120"/>
        <w:jc w:val="both"/>
      </w:pPr>
      <w:r>
        <w:rPr>
          <w:rFonts w:ascii="Times New Roman" w:hAnsi="Times New Roman"/>
        </w:rPr>
        <w:t xml:space="preserve">Mean-variance is best on return, Sharpe, Calmar ratio and maximum drawdown in three of four settings; the adaptive policy is best on volatility in three settings (the criterion on which it is explicitly rewarded through the drawdown and turnover terms), but, as Section 4.6 shows, this is not stable across seeds. Equal-weight is never best and has the deepest drawdown of the three strategies in three of four settings (all but the corrected dot-com), but it is the cheapest to operate (no optimisation, no change in target weights). On </w:t>
      </w:r>
      <w:r>
        <w:rPr>
          <w:rFonts w:ascii="Times New Roman" w:hAnsi="Times New Roman"/>
          <w:i/>
        </w:rPr>
        <w:t>interpretability</w:t>
      </w:r>
      <w:r>
        <w:rPr>
          <w:rFonts w:ascii="Times New Roman" w:hAnsi="Times New Roman"/>
        </w:rPr>
        <w:t xml:space="preserve">, the HMM and the comparison report are transparent by construction (stated evidence, an overlay of a real reference window), whereas the ES-trained policy is a small black box. On </w:t>
      </w:r>
      <w:r>
        <w:rPr>
          <w:rFonts w:ascii="Times New Roman" w:hAnsi="Times New Roman"/>
          <w:i/>
        </w:rPr>
        <w:t>runtime</w:t>
      </w:r>
      <w:r>
        <w:rPr>
          <w:rFonts w:ascii="Times New Roman" w:hAnsi="Times New Roman"/>
        </w:rPr>
        <w:t>, a backtest takes 8–17 s and a cached comparison about 0.1 s on the laptop (first-use matcher build ≈ 25 s).</w:t>
      </w:r>
    </w:p>
    <w:p>
      <w:pPr>
        <w:pStyle w:val="Heading2"/>
      </w:pPr>
      <w:r>
        <w:t>4.4 Comparison with existing methods</w:t>
      </w:r>
    </w:p>
    <w:p>
      <w:pPr>
        <w:keepNext w:val="0"/>
        <w:spacing w:after="120"/>
        <w:jc w:val="both"/>
      </w:pPr>
      <w:r>
        <w:rPr>
          <w:rFonts w:ascii="Times New Roman" w:hAnsi="Times New Roman"/>
        </w:rPr>
        <w:t xml:space="preserve">A like-for-like numerical comparison with the studies in Table 1 is not possible: they use different datasets, assets, periods, costs and protocols, and their code and data were not available to us. We therefore compare against the standard benchmarks of the same protocol (equal-weight and mean-variance; Section 4.1.3) and position the platform qualitatively against the reviewed approaches (Table 10), using only the properties those studies report. The principal difference is not performance but scope and candour: the platform adds an explainable analogue-comparison output and an evaluation that includes seeds, ablations and leakage controls; it does </w:t>
      </w:r>
      <w:r>
        <w:rPr>
          <w:rFonts w:ascii="Times New Roman" w:hAnsi="Times New Roman"/>
          <w:i/>
        </w:rPr>
        <w:t>not</w:t>
      </w:r>
      <w:r>
        <w:rPr>
          <w:rFonts w:ascii="Times New Roman" w:hAnsi="Times New Roman"/>
        </w:rPr>
        <w:t xml:space="preserve"> demonstrate that its allocator beats the baselines.</w:t>
      </w:r>
    </w:p>
    <w:p>
      <w:pPr>
        <w:keepNext/>
        <w:spacing w:after="60" w:before="160"/>
      </w:pPr>
      <w:r>
        <w:rPr>
          <w:rFonts w:ascii="Times New Roman" w:hAnsi="Times New Roman"/>
          <w:b/>
          <w:sz w:val="19"/>
        </w:rPr>
        <w:t xml:space="preserve">Table 10. </w:t>
      </w:r>
      <w:r>
        <w:rPr>
          <w:rFonts w:ascii="Times New Roman" w:hAnsi="Times New Roman"/>
          <w:sz w:val="19"/>
        </w:rPr>
        <w:t>Qualitative capability comparison. Entries for other studies are limited to what Table 1 records; “Not reported” means the project literature review did not record the property, not that the study lacks it.</w:t>
      </w:r>
    </w:p>
    <w:tbl>
      <w:tblPr>
        <w:tblW w:type="auto" w:w="0"/>
        <w:jc w:val="center"/>
        <w:tblLayout w:type="fixed"/>
        <w:tblLook w:firstColumn="1" w:firstRow="1" w:lastColumn="0" w:lastRow="0" w:noHBand="0" w:noVBand="1" w:val="04A0"/>
      </w:tblPr>
      <w:tblGrid>
        <w:gridCol w:w="1290"/>
        <w:gridCol w:w="1290"/>
        <w:gridCol w:w="1290"/>
        <w:gridCol w:w="1290"/>
        <w:gridCol w:w="1290"/>
        <w:gridCol w:w="1290"/>
        <w:gridCol w:w="1290"/>
      </w:tblGrid>
      <w:tr>
        <w:tc>
          <w:tcPr>
            <w:tcW w:type="dxa" w:w="2088"/>
            <w:tcBorders>
              <w:top w:val="single" w:sz="10" w:color="000000"/>
              <w:bottom w:val="single" w:sz="6" w:color="000000"/>
            </w:tcBorders>
          </w:tcPr>
          <w:p>
            <w:pPr>
              <w:spacing w:after="20"/>
              <w:jc w:val="left"/>
            </w:pPr>
            <w:r/>
            <w:r>
              <w:rPr>
                <w:rFonts w:ascii="Times New Roman" w:hAnsi="Times New Roman"/>
                <w:b/>
                <w:sz w:val="14"/>
              </w:rPr>
              <w:t>Capability</w:t>
            </w:r>
          </w:p>
        </w:tc>
        <w:tc>
          <w:tcPr>
            <w:tcW w:type="dxa" w:w="1224"/>
            <w:tcBorders>
              <w:top w:val="single" w:sz="10" w:color="000000"/>
              <w:bottom w:val="single" w:sz="6" w:color="000000"/>
            </w:tcBorders>
          </w:tcPr>
          <w:p>
            <w:pPr>
              <w:spacing w:after="20"/>
              <w:jc w:val="center"/>
            </w:pPr>
            <w:r/>
            <w:r>
              <w:rPr>
                <w:rFonts w:ascii="Times New Roman" w:hAnsi="Times New Roman"/>
                <w:b/>
                <w:sz w:val="14"/>
              </w:rPr>
              <w:t>Mean-Variance / 1/N</w:t>
            </w:r>
          </w:p>
        </w:tc>
        <w:tc>
          <w:tcPr>
            <w:tcW w:type="dxa" w:w="1224"/>
            <w:tcBorders>
              <w:top w:val="single" w:sz="10" w:color="000000"/>
              <w:bottom w:val="single" w:sz="6" w:color="000000"/>
            </w:tcBorders>
          </w:tcPr>
          <w:p>
            <w:pPr>
              <w:spacing w:after="20"/>
              <w:jc w:val="center"/>
            </w:pPr>
            <w:r/>
            <w:r>
              <w:rPr>
                <w:rFonts w:ascii="Times New Roman" w:hAnsi="Times New Roman"/>
                <w:b/>
                <w:sz w:val="14"/>
              </w:rPr>
              <w:t>Zhang [GAT multi-agent]</w:t>
            </w:r>
          </w:p>
        </w:tc>
        <w:tc>
          <w:tcPr>
            <w:tcW w:type="dxa" w:w="1008"/>
            <w:tcBorders>
              <w:top w:val="single" w:sz="10" w:color="000000"/>
              <w:bottom w:val="single" w:sz="6" w:color="000000"/>
            </w:tcBorders>
          </w:tcPr>
          <w:p>
            <w:pPr>
              <w:spacing w:after="20"/>
              <w:jc w:val="center"/>
            </w:pPr>
            <w:r/>
            <w:r>
              <w:rPr>
                <w:rFonts w:ascii="Times New Roman" w:hAnsi="Times New Roman"/>
                <w:b/>
                <w:sz w:val="14"/>
              </w:rPr>
              <w:t>DRL-APO</w:t>
            </w:r>
          </w:p>
        </w:tc>
        <w:tc>
          <w:tcPr>
            <w:tcW w:type="dxa" w:w="1080"/>
            <w:tcBorders>
              <w:top w:val="single" w:sz="10" w:color="000000"/>
              <w:bottom w:val="single" w:sz="6" w:color="000000"/>
            </w:tcBorders>
          </w:tcPr>
          <w:p>
            <w:pPr>
              <w:spacing w:after="20"/>
              <w:jc w:val="center"/>
            </w:pPr>
            <w:r/>
            <w:r>
              <w:rPr>
                <w:rFonts w:ascii="Times New Roman" w:hAnsi="Times New Roman"/>
                <w:b/>
                <w:sz w:val="14"/>
              </w:rPr>
              <w:t>RL-APM</w:t>
            </w:r>
          </w:p>
        </w:tc>
        <w:tc>
          <w:tcPr>
            <w:tcW w:type="dxa" w:w="1224"/>
            <w:tcBorders>
              <w:top w:val="single" w:sz="10" w:color="000000"/>
              <w:bottom w:val="single" w:sz="6" w:color="000000"/>
            </w:tcBorders>
          </w:tcPr>
          <w:p>
            <w:pPr>
              <w:spacing w:after="20"/>
              <w:jc w:val="center"/>
            </w:pPr>
            <w:r/>
            <w:r>
              <w:rPr>
                <w:rFonts w:ascii="Times New Roman" w:hAnsi="Times New Roman"/>
                <w:b/>
                <w:sz w:val="14"/>
              </w:rPr>
              <w:t>Regime-aware RL</w:t>
            </w:r>
          </w:p>
        </w:tc>
        <w:tc>
          <w:tcPr>
            <w:tcW w:type="dxa" w:w="1512"/>
            <w:tcBorders>
              <w:top w:val="single" w:sz="10" w:color="000000"/>
              <w:bottom w:val="single" w:sz="6" w:color="000000"/>
            </w:tcBorders>
          </w:tcPr>
          <w:p>
            <w:pPr>
              <w:spacing w:after="20"/>
              <w:jc w:val="center"/>
            </w:pPr>
            <w:r/>
            <w:r>
              <w:rPr>
                <w:rFonts w:ascii="Times New Roman" w:hAnsi="Times New Roman"/>
                <w:b/>
                <w:sz w:val="14"/>
              </w:rPr>
              <w:t>This work</w:t>
            </w:r>
          </w:p>
        </w:tc>
      </w:tr>
      <w:tr>
        <w:tc>
          <w:tcPr>
            <w:tcW w:type="dxa" w:w="2088"/>
          </w:tcPr>
          <w:p>
            <w:pPr>
              <w:spacing w:after="20" w:line="252" w:lineRule="auto"/>
              <w:jc w:val="left"/>
            </w:pPr>
            <w:r/>
            <w:r>
              <w:rPr>
                <w:rFonts w:ascii="Times New Roman" w:hAnsi="Times New Roman"/>
                <w:sz w:val="14"/>
              </w:rPr>
              <w:t>Multi-asset allocation</w:t>
            </w:r>
          </w:p>
        </w:tc>
        <w:tc>
          <w:tcPr>
            <w:tcW w:type="dxa" w:w="1224"/>
          </w:tcPr>
          <w:p>
            <w:pPr>
              <w:spacing w:after="20" w:line="252" w:lineRule="auto"/>
              <w:jc w:val="center"/>
            </w:pPr>
            <w:r/>
            <w:r>
              <w:rPr>
                <w:rFonts w:ascii="Times New Roman" w:hAnsi="Times New Roman"/>
                <w:sz w:val="14"/>
              </w:rPr>
              <w:t>Yes</w:t>
            </w:r>
          </w:p>
        </w:tc>
        <w:tc>
          <w:tcPr>
            <w:tcW w:type="dxa" w:w="1224"/>
          </w:tcPr>
          <w:p>
            <w:pPr>
              <w:spacing w:after="20" w:line="252" w:lineRule="auto"/>
              <w:jc w:val="center"/>
            </w:pPr>
            <w:r/>
            <w:r>
              <w:rPr>
                <w:rFonts w:ascii="Times New Roman" w:hAnsi="Times New Roman"/>
                <w:sz w:val="14"/>
              </w:rPr>
              <w:t>Yes</w:t>
            </w:r>
          </w:p>
        </w:tc>
        <w:tc>
          <w:tcPr>
            <w:tcW w:type="dxa" w:w="1008"/>
          </w:tcPr>
          <w:p>
            <w:pPr>
              <w:spacing w:after="20" w:line="252" w:lineRule="auto"/>
              <w:jc w:val="center"/>
            </w:pPr>
            <w:r/>
            <w:r>
              <w:rPr>
                <w:rFonts w:ascii="Times New Roman" w:hAnsi="Times New Roman"/>
                <w:sz w:val="14"/>
              </w:rPr>
              <w:t>Yes</w:t>
            </w:r>
          </w:p>
        </w:tc>
        <w:tc>
          <w:tcPr>
            <w:tcW w:type="dxa" w:w="1080"/>
          </w:tcPr>
          <w:p>
            <w:pPr>
              <w:spacing w:after="20" w:line="252" w:lineRule="auto"/>
              <w:jc w:val="center"/>
            </w:pPr>
            <w:r/>
            <w:r>
              <w:rPr>
                <w:rFonts w:ascii="Times New Roman" w:hAnsi="Times New Roman"/>
                <w:sz w:val="14"/>
              </w:rPr>
              <w:t>No (single stock)</w:t>
            </w:r>
          </w:p>
        </w:tc>
        <w:tc>
          <w:tcPr>
            <w:tcW w:type="dxa" w:w="1224"/>
          </w:tcPr>
          <w:p>
            <w:pPr>
              <w:spacing w:after="20" w:line="252" w:lineRule="auto"/>
              <w:jc w:val="center"/>
            </w:pPr>
            <w:r/>
            <w:r>
              <w:rPr>
                <w:rFonts w:ascii="Times New Roman" w:hAnsi="Times New Roman"/>
                <w:sz w:val="14"/>
              </w:rPr>
              <w:t>Yes</w:t>
            </w:r>
          </w:p>
        </w:tc>
        <w:tc>
          <w:tcPr>
            <w:tcW w:type="dxa" w:w="1512"/>
          </w:tcPr>
          <w:p>
            <w:pPr>
              <w:spacing w:after="20" w:line="252" w:lineRule="auto"/>
              <w:jc w:val="center"/>
            </w:pPr>
            <w:r/>
            <w:r>
              <w:rPr>
                <w:rFonts w:ascii="Times New Roman" w:hAnsi="Times New Roman"/>
                <w:sz w:val="14"/>
              </w:rPr>
              <w:t>Yes (3–4 assets)</w:t>
            </w:r>
          </w:p>
        </w:tc>
      </w:tr>
      <w:tr>
        <w:tc>
          <w:tcPr>
            <w:tcW w:type="dxa" w:w="2088"/>
          </w:tcPr>
          <w:p>
            <w:pPr>
              <w:spacing w:after="20" w:line="252" w:lineRule="auto"/>
              <w:jc w:val="left"/>
            </w:pPr>
            <w:r/>
            <w:r>
              <w:rPr>
                <w:rFonts w:ascii="Times New Roman" w:hAnsi="Times New Roman"/>
                <w:sz w:val="14"/>
              </w:rPr>
              <w:t>Explicit regime detection</w:t>
            </w:r>
          </w:p>
        </w:tc>
        <w:tc>
          <w:tcPr>
            <w:tcW w:type="dxa" w:w="1224"/>
          </w:tcPr>
          <w:p>
            <w:pPr>
              <w:spacing w:after="20" w:line="252" w:lineRule="auto"/>
              <w:jc w:val="center"/>
            </w:pPr>
            <w:r/>
            <w:r>
              <w:rPr>
                <w:rFonts w:ascii="Times New Roman" w:hAnsi="Times New Roman"/>
                <w:sz w:val="14"/>
              </w:rPr>
              <w:t>No</w:t>
            </w:r>
          </w:p>
        </w:tc>
        <w:tc>
          <w:tcPr>
            <w:tcW w:type="dxa" w:w="1224"/>
          </w:tcPr>
          <w:p>
            <w:pPr>
              <w:spacing w:after="20" w:line="252" w:lineRule="auto"/>
              <w:jc w:val="center"/>
            </w:pPr>
            <w:r/>
            <w:r>
              <w:rPr>
                <w:rFonts w:ascii="Times New Roman" w:hAnsi="Times New Roman"/>
                <w:sz w:val="14"/>
              </w:rPr>
              <w:t>Not reported</w:t>
            </w:r>
          </w:p>
        </w:tc>
        <w:tc>
          <w:tcPr>
            <w:tcW w:type="dxa" w:w="1008"/>
          </w:tcPr>
          <w:p>
            <w:pPr>
              <w:spacing w:after="20" w:line="252" w:lineRule="auto"/>
              <w:jc w:val="center"/>
            </w:pPr>
            <w:r/>
            <w:r>
              <w:rPr>
                <w:rFonts w:ascii="Times New Roman" w:hAnsi="Times New Roman"/>
                <w:sz w:val="14"/>
              </w:rPr>
              <w:t>No</w:t>
            </w:r>
          </w:p>
        </w:tc>
        <w:tc>
          <w:tcPr>
            <w:tcW w:type="dxa" w:w="1080"/>
          </w:tcPr>
          <w:p>
            <w:pPr>
              <w:spacing w:after="20" w:line="252" w:lineRule="auto"/>
              <w:jc w:val="center"/>
            </w:pPr>
            <w:r/>
            <w:r>
              <w:rPr>
                <w:rFonts w:ascii="Times New Roman" w:hAnsi="Times New Roman"/>
                <w:sz w:val="14"/>
              </w:rPr>
              <w:t>No</w:t>
            </w:r>
          </w:p>
        </w:tc>
        <w:tc>
          <w:tcPr>
            <w:tcW w:type="dxa" w:w="1224"/>
          </w:tcPr>
          <w:p>
            <w:pPr>
              <w:spacing w:after="20" w:line="252" w:lineRule="auto"/>
              <w:jc w:val="center"/>
            </w:pPr>
            <w:r/>
            <w:r>
              <w:rPr>
                <w:rFonts w:ascii="Times New Roman" w:hAnsi="Times New Roman"/>
                <w:sz w:val="14"/>
              </w:rPr>
              <w:t>Yes</w:t>
            </w:r>
          </w:p>
        </w:tc>
        <w:tc>
          <w:tcPr>
            <w:tcW w:type="dxa" w:w="1512"/>
          </w:tcPr>
          <w:p>
            <w:pPr>
              <w:spacing w:after="20" w:line="252" w:lineRule="auto"/>
              <w:jc w:val="center"/>
            </w:pPr>
            <w:r/>
            <w:r>
              <w:rPr>
                <w:rFonts w:ascii="Times New Roman" w:hAnsi="Times New Roman"/>
                <w:sz w:val="14"/>
              </w:rPr>
              <w:t>Yes (HMM)</w:t>
            </w:r>
          </w:p>
        </w:tc>
      </w:tr>
      <w:tr>
        <w:tc>
          <w:tcPr>
            <w:tcW w:type="dxa" w:w="2088"/>
          </w:tcPr>
          <w:p>
            <w:pPr>
              <w:spacing w:after="20" w:line="252" w:lineRule="auto"/>
              <w:jc w:val="left"/>
            </w:pPr>
            <w:r/>
            <w:r>
              <w:rPr>
                <w:rFonts w:ascii="Times New Roman" w:hAnsi="Times New Roman"/>
                <w:sz w:val="14"/>
              </w:rPr>
              <w:t>Transaction costs in objective</w:t>
            </w:r>
          </w:p>
        </w:tc>
        <w:tc>
          <w:tcPr>
            <w:tcW w:type="dxa" w:w="1224"/>
          </w:tcPr>
          <w:p>
            <w:pPr>
              <w:spacing w:after="20" w:line="252" w:lineRule="auto"/>
              <w:jc w:val="center"/>
            </w:pPr>
            <w:r/>
            <w:r>
              <w:rPr>
                <w:rFonts w:ascii="Times New Roman" w:hAnsi="Times New Roman"/>
                <w:sz w:val="14"/>
              </w:rPr>
              <w:t>No</w:t>
            </w:r>
          </w:p>
        </w:tc>
        <w:tc>
          <w:tcPr>
            <w:tcW w:type="dxa" w:w="1224"/>
          </w:tcPr>
          <w:p>
            <w:pPr>
              <w:spacing w:after="20" w:line="252" w:lineRule="auto"/>
              <w:jc w:val="center"/>
            </w:pPr>
            <w:r/>
            <w:r>
              <w:rPr>
                <w:rFonts w:ascii="Times New Roman" w:hAnsi="Times New Roman"/>
                <w:sz w:val="14"/>
              </w:rPr>
              <w:t>Not reported</w:t>
            </w:r>
          </w:p>
        </w:tc>
        <w:tc>
          <w:tcPr>
            <w:tcW w:type="dxa" w:w="1008"/>
          </w:tcPr>
          <w:p>
            <w:pPr>
              <w:spacing w:after="20" w:line="252" w:lineRule="auto"/>
              <w:jc w:val="center"/>
            </w:pPr>
            <w:r/>
            <w:r>
              <w:rPr>
                <w:rFonts w:ascii="Times New Roman" w:hAnsi="Times New Roman"/>
                <w:sz w:val="14"/>
              </w:rPr>
              <w:t>Not reported</w:t>
            </w:r>
          </w:p>
        </w:tc>
        <w:tc>
          <w:tcPr>
            <w:tcW w:type="dxa" w:w="1080"/>
          </w:tcPr>
          <w:p>
            <w:pPr>
              <w:spacing w:after="20" w:line="252" w:lineRule="auto"/>
              <w:jc w:val="center"/>
            </w:pPr>
            <w:r/>
            <w:r>
              <w:rPr>
                <w:rFonts w:ascii="Times New Roman" w:hAnsi="Times New Roman"/>
                <w:sz w:val="14"/>
              </w:rPr>
              <w:t>Ignored</w:t>
            </w:r>
          </w:p>
        </w:tc>
        <w:tc>
          <w:tcPr>
            <w:tcW w:type="dxa" w:w="1224"/>
          </w:tcPr>
          <w:p>
            <w:pPr>
              <w:spacing w:after="20" w:line="252" w:lineRule="auto"/>
              <w:jc w:val="center"/>
            </w:pPr>
            <w:r/>
            <w:r>
              <w:rPr>
                <w:rFonts w:ascii="Times New Roman" w:hAnsi="Times New Roman"/>
                <w:sz w:val="14"/>
              </w:rPr>
              <w:t>Not reported</w:t>
            </w:r>
          </w:p>
        </w:tc>
        <w:tc>
          <w:tcPr>
            <w:tcW w:type="dxa" w:w="1512"/>
          </w:tcPr>
          <w:p>
            <w:pPr>
              <w:spacing w:after="20" w:line="252" w:lineRule="auto"/>
              <w:jc w:val="center"/>
            </w:pPr>
            <w:r/>
            <w:r>
              <w:rPr>
                <w:rFonts w:ascii="Times New Roman" w:hAnsi="Times New Roman"/>
                <w:sz w:val="14"/>
              </w:rPr>
              <w:t>Yes (turnover + 5 bps)</w:t>
            </w:r>
          </w:p>
        </w:tc>
      </w:tr>
      <w:tr>
        <w:tc>
          <w:tcPr>
            <w:tcW w:type="dxa" w:w="2088"/>
          </w:tcPr>
          <w:p>
            <w:pPr>
              <w:spacing w:after="20" w:line="252" w:lineRule="auto"/>
              <w:jc w:val="left"/>
            </w:pPr>
            <w:r/>
            <w:r>
              <w:rPr>
                <w:rFonts w:ascii="Times New Roman" w:hAnsi="Times New Roman"/>
                <w:sz w:val="14"/>
              </w:rPr>
              <w:t>Historical-analogue comparison</w:t>
            </w:r>
          </w:p>
        </w:tc>
        <w:tc>
          <w:tcPr>
            <w:tcW w:type="dxa" w:w="1224"/>
          </w:tcPr>
          <w:p>
            <w:pPr>
              <w:spacing w:after="20" w:line="252" w:lineRule="auto"/>
              <w:jc w:val="center"/>
            </w:pPr>
            <w:r/>
            <w:r>
              <w:rPr>
                <w:rFonts w:ascii="Times New Roman" w:hAnsi="Times New Roman"/>
                <w:sz w:val="14"/>
              </w:rPr>
              <w:t>No</w:t>
            </w:r>
          </w:p>
        </w:tc>
        <w:tc>
          <w:tcPr>
            <w:tcW w:type="dxa" w:w="1224"/>
          </w:tcPr>
          <w:p>
            <w:pPr>
              <w:spacing w:after="20" w:line="252" w:lineRule="auto"/>
              <w:jc w:val="center"/>
            </w:pPr>
            <w:r/>
            <w:r>
              <w:rPr>
                <w:rFonts w:ascii="Times New Roman" w:hAnsi="Times New Roman"/>
                <w:sz w:val="14"/>
              </w:rPr>
              <w:t>No</w:t>
            </w:r>
          </w:p>
        </w:tc>
        <w:tc>
          <w:tcPr>
            <w:tcW w:type="dxa" w:w="1008"/>
          </w:tcPr>
          <w:p>
            <w:pPr>
              <w:spacing w:after="20" w:line="252" w:lineRule="auto"/>
              <w:jc w:val="center"/>
            </w:pPr>
            <w:r/>
            <w:r>
              <w:rPr>
                <w:rFonts w:ascii="Times New Roman" w:hAnsi="Times New Roman"/>
                <w:sz w:val="14"/>
              </w:rPr>
              <w:t>No</w:t>
            </w:r>
          </w:p>
        </w:tc>
        <w:tc>
          <w:tcPr>
            <w:tcW w:type="dxa" w:w="1080"/>
          </w:tcPr>
          <w:p>
            <w:pPr>
              <w:spacing w:after="20" w:line="252" w:lineRule="auto"/>
              <w:jc w:val="center"/>
            </w:pPr>
            <w:r/>
            <w:r>
              <w:rPr>
                <w:rFonts w:ascii="Times New Roman" w:hAnsi="Times New Roman"/>
                <w:sz w:val="14"/>
              </w:rPr>
              <w:t>No</w:t>
            </w:r>
          </w:p>
        </w:tc>
        <w:tc>
          <w:tcPr>
            <w:tcW w:type="dxa" w:w="1224"/>
          </w:tcPr>
          <w:p>
            <w:pPr>
              <w:spacing w:after="20" w:line="252" w:lineRule="auto"/>
              <w:jc w:val="center"/>
            </w:pPr>
            <w:r/>
            <w:r>
              <w:rPr>
                <w:rFonts w:ascii="Times New Roman" w:hAnsi="Times New Roman"/>
                <w:sz w:val="14"/>
              </w:rPr>
              <w:t>No</w:t>
            </w:r>
          </w:p>
        </w:tc>
        <w:tc>
          <w:tcPr>
            <w:tcW w:type="dxa" w:w="1512"/>
          </w:tcPr>
          <w:p>
            <w:pPr>
              <w:spacing w:after="20" w:line="252" w:lineRule="auto"/>
              <w:jc w:val="center"/>
            </w:pPr>
            <w:r/>
            <w:r>
              <w:rPr>
                <w:rFonts w:ascii="Times New Roman" w:hAnsi="Times New Roman"/>
                <w:sz w:val="14"/>
              </w:rPr>
              <w:t>Yes (Transformer + HDBSCAN)</w:t>
            </w:r>
          </w:p>
        </w:tc>
      </w:tr>
      <w:tr>
        <w:tc>
          <w:tcPr>
            <w:tcW w:type="dxa" w:w="2088"/>
          </w:tcPr>
          <w:p>
            <w:pPr>
              <w:spacing w:after="20" w:line="252" w:lineRule="auto"/>
              <w:jc w:val="left"/>
            </w:pPr>
            <w:r/>
            <w:r>
              <w:rPr>
                <w:rFonts w:ascii="Times New Roman" w:hAnsi="Times New Roman"/>
                <w:sz w:val="14"/>
              </w:rPr>
              <w:t>Interpretable output</w:t>
            </w:r>
          </w:p>
        </w:tc>
        <w:tc>
          <w:tcPr>
            <w:tcW w:type="dxa" w:w="1224"/>
          </w:tcPr>
          <w:p>
            <w:pPr>
              <w:spacing w:after="20" w:line="252" w:lineRule="auto"/>
              <w:jc w:val="center"/>
            </w:pPr>
            <w:r/>
            <w:r>
              <w:rPr>
                <w:rFonts w:ascii="Times New Roman" w:hAnsi="Times New Roman"/>
                <w:sz w:val="14"/>
              </w:rPr>
              <w:t>Yes</w:t>
            </w:r>
          </w:p>
        </w:tc>
        <w:tc>
          <w:tcPr>
            <w:tcW w:type="dxa" w:w="1224"/>
          </w:tcPr>
          <w:p>
            <w:pPr>
              <w:spacing w:after="20" w:line="252" w:lineRule="auto"/>
              <w:jc w:val="center"/>
            </w:pPr>
            <w:r/>
            <w:r>
              <w:rPr>
                <w:rFonts w:ascii="Times New Roman" w:hAnsi="Times New Roman"/>
                <w:sz w:val="14"/>
              </w:rPr>
              <w:t>Low</w:t>
            </w:r>
          </w:p>
        </w:tc>
        <w:tc>
          <w:tcPr>
            <w:tcW w:type="dxa" w:w="1008"/>
          </w:tcPr>
          <w:p>
            <w:pPr>
              <w:spacing w:after="20" w:line="252" w:lineRule="auto"/>
              <w:jc w:val="center"/>
            </w:pPr>
            <w:r/>
            <w:r>
              <w:rPr>
                <w:rFonts w:ascii="Times New Roman" w:hAnsi="Times New Roman"/>
                <w:sz w:val="14"/>
              </w:rPr>
              <w:t>Low</w:t>
            </w:r>
          </w:p>
        </w:tc>
        <w:tc>
          <w:tcPr>
            <w:tcW w:type="dxa" w:w="1080"/>
          </w:tcPr>
          <w:p>
            <w:pPr>
              <w:spacing w:after="20" w:line="252" w:lineRule="auto"/>
              <w:jc w:val="center"/>
            </w:pPr>
            <w:r/>
            <w:r>
              <w:rPr>
                <w:rFonts w:ascii="Times New Roman" w:hAnsi="Times New Roman"/>
                <w:sz w:val="14"/>
              </w:rPr>
              <w:t>Medium</w:t>
            </w:r>
          </w:p>
        </w:tc>
        <w:tc>
          <w:tcPr>
            <w:tcW w:type="dxa" w:w="1224"/>
          </w:tcPr>
          <w:p>
            <w:pPr>
              <w:spacing w:after="20" w:line="252" w:lineRule="auto"/>
              <w:jc w:val="center"/>
            </w:pPr>
            <w:r/>
            <w:r>
              <w:rPr>
                <w:rFonts w:ascii="Times New Roman" w:hAnsi="Times New Roman"/>
                <w:sz w:val="14"/>
              </w:rPr>
              <w:t>Medium (LSTM)</w:t>
            </w:r>
          </w:p>
        </w:tc>
        <w:tc>
          <w:tcPr>
            <w:tcW w:type="dxa" w:w="1512"/>
          </w:tcPr>
          <w:p>
            <w:pPr>
              <w:spacing w:after="20" w:line="252" w:lineRule="auto"/>
              <w:jc w:val="center"/>
            </w:pPr>
            <w:r/>
            <w:r>
              <w:rPr>
                <w:rFonts w:ascii="Times New Roman" w:hAnsi="Times New Roman"/>
                <w:sz w:val="14"/>
              </w:rPr>
              <w:t>Yes (report + overlay)</w:t>
            </w:r>
          </w:p>
        </w:tc>
      </w:tr>
      <w:tr>
        <w:tc>
          <w:tcPr>
            <w:tcW w:type="dxa" w:w="2088"/>
          </w:tcPr>
          <w:p>
            <w:pPr>
              <w:spacing w:after="20" w:line="252" w:lineRule="auto"/>
              <w:jc w:val="left"/>
            </w:pPr>
            <w:r/>
            <w:r>
              <w:rPr>
                <w:rFonts w:ascii="Times New Roman" w:hAnsi="Times New Roman"/>
                <w:sz w:val="14"/>
              </w:rPr>
              <w:t>Leakage-controlled / multi-seed evaluation</w:t>
            </w:r>
          </w:p>
        </w:tc>
        <w:tc>
          <w:tcPr>
            <w:tcW w:type="dxa" w:w="1224"/>
          </w:tcPr>
          <w:p>
            <w:pPr>
              <w:spacing w:after="20" w:line="252" w:lineRule="auto"/>
              <w:jc w:val="center"/>
            </w:pPr>
            <w:r/>
            <w:r>
              <w:rPr>
                <w:rFonts w:ascii="Times New Roman" w:hAnsi="Times New Roman"/>
                <w:sz w:val="14"/>
              </w:rPr>
              <w:t>n/a</w:t>
            </w:r>
          </w:p>
        </w:tc>
        <w:tc>
          <w:tcPr>
            <w:tcW w:type="dxa" w:w="1224"/>
          </w:tcPr>
          <w:p>
            <w:pPr>
              <w:spacing w:after="20" w:line="252" w:lineRule="auto"/>
              <w:jc w:val="center"/>
            </w:pPr>
            <w:r/>
            <w:r>
              <w:rPr>
                <w:rFonts w:ascii="Times New Roman" w:hAnsi="Times New Roman"/>
                <w:sz w:val="14"/>
              </w:rPr>
              <w:t>Not reported</w:t>
            </w:r>
          </w:p>
        </w:tc>
        <w:tc>
          <w:tcPr>
            <w:tcW w:type="dxa" w:w="1008"/>
          </w:tcPr>
          <w:p>
            <w:pPr>
              <w:spacing w:after="20" w:line="252" w:lineRule="auto"/>
              <w:jc w:val="center"/>
            </w:pPr>
            <w:r/>
            <w:r>
              <w:rPr>
                <w:rFonts w:ascii="Times New Roman" w:hAnsi="Times New Roman"/>
                <w:sz w:val="14"/>
              </w:rPr>
              <w:t>Not reported</w:t>
            </w:r>
          </w:p>
        </w:tc>
        <w:tc>
          <w:tcPr>
            <w:tcW w:type="dxa" w:w="1080"/>
          </w:tcPr>
          <w:p>
            <w:pPr>
              <w:spacing w:after="20" w:line="252" w:lineRule="auto"/>
              <w:jc w:val="center"/>
            </w:pPr>
            <w:r/>
            <w:r>
              <w:rPr>
                <w:rFonts w:ascii="Times New Roman" w:hAnsi="Times New Roman"/>
                <w:sz w:val="14"/>
              </w:rPr>
              <w:t>Not reported</w:t>
            </w:r>
          </w:p>
        </w:tc>
        <w:tc>
          <w:tcPr>
            <w:tcW w:type="dxa" w:w="1224"/>
          </w:tcPr>
          <w:p>
            <w:pPr>
              <w:spacing w:after="20" w:line="252" w:lineRule="auto"/>
              <w:jc w:val="center"/>
            </w:pPr>
            <w:r/>
            <w:r>
              <w:rPr>
                <w:rFonts w:ascii="Times New Roman" w:hAnsi="Times New Roman"/>
                <w:sz w:val="14"/>
              </w:rPr>
              <w:t>Not reported</w:t>
            </w:r>
          </w:p>
        </w:tc>
        <w:tc>
          <w:tcPr>
            <w:tcW w:type="dxa" w:w="1512"/>
          </w:tcPr>
          <w:p>
            <w:pPr>
              <w:spacing w:after="20" w:line="252" w:lineRule="auto"/>
              <w:jc w:val="center"/>
            </w:pPr>
            <w:r/>
            <w:r>
              <w:rPr>
                <w:rFonts w:ascii="Times New Roman" w:hAnsi="Times New Roman"/>
                <w:sz w:val="14"/>
              </w:rPr>
              <w:t>Yes</w:t>
            </w:r>
          </w:p>
        </w:tc>
      </w:tr>
      <w:tr>
        <w:tc>
          <w:tcPr>
            <w:tcW w:type="dxa" w:w="2088"/>
            <w:tcBorders>
              <w:bottom w:val="single" w:sz="10" w:color="000000"/>
            </w:tcBorders>
          </w:tcPr>
          <w:p>
            <w:pPr>
              <w:spacing w:after="20" w:line="252" w:lineRule="auto"/>
              <w:jc w:val="left"/>
            </w:pPr>
            <w:r/>
            <w:r>
              <w:rPr>
                <w:rFonts w:ascii="Times New Roman" w:hAnsi="Times New Roman"/>
                <w:sz w:val="14"/>
              </w:rPr>
              <w:t>Reported to beat static baselines</w:t>
            </w:r>
          </w:p>
        </w:tc>
        <w:tc>
          <w:tcPr>
            <w:tcW w:type="dxa" w:w="1224"/>
            <w:tcBorders>
              <w:bottom w:val="single" w:sz="10" w:color="000000"/>
            </w:tcBorders>
          </w:tcPr>
          <w:p>
            <w:pPr>
              <w:spacing w:after="20" w:line="252" w:lineRule="auto"/>
              <w:jc w:val="center"/>
            </w:pPr>
            <w:r/>
            <w:r>
              <w:rPr>
                <w:rFonts w:ascii="Times New Roman" w:hAnsi="Times New Roman"/>
                <w:sz w:val="14"/>
              </w:rPr>
              <w:t>n/a</w:t>
            </w:r>
          </w:p>
        </w:tc>
        <w:tc>
          <w:tcPr>
            <w:tcW w:type="dxa" w:w="1224"/>
            <w:tcBorders>
              <w:bottom w:val="single" w:sz="10" w:color="000000"/>
            </w:tcBorders>
          </w:tcPr>
          <w:p>
            <w:pPr>
              <w:spacing w:after="20" w:line="252" w:lineRule="auto"/>
              <w:jc w:val="center"/>
            </w:pPr>
            <w:r/>
            <w:r>
              <w:rPr>
                <w:rFonts w:ascii="Times New Roman" w:hAnsi="Times New Roman"/>
                <w:sz w:val="14"/>
              </w:rPr>
              <w:t>Yes (reported)</w:t>
            </w:r>
          </w:p>
        </w:tc>
        <w:tc>
          <w:tcPr>
            <w:tcW w:type="dxa" w:w="1008"/>
            <w:tcBorders>
              <w:bottom w:val="single" w:sz="10" w:color="000000"/>
            </w:tcBorders>
          </w:tcPr>
          <w:p>
            <w:pPr>
              <w:spacing w:after="20" w:line="252" w:lineRule="auto"/>
              <w:jc w:val="center"/>
            </w:pPr>
            <w:r/>
            <w:r>
              <w:rPr>
                <w:rFonts w:ascii="Times New Roman" w:hAnsi="Times New Roman"/>
                <w:sz w:val="14"/>
              </w:rPr>
              <w:t>Yes (reported)</w:t>
            </w:r>
          </w:p>
        </w:tc>
        <w:tc>
          <w:tcPr>
            <w:tcW w:type="dxa" w:w="1080"/>
            <w:tcBorders>
              <w:bottom w:val="single" w:sz="10" w:color="000000"/>
            </w:tcBorders>
          </w:tcPr>
          <w:p>
            <w:pPr>
              <w:spacing w:after="20" w:line="252" w:lineRule="auto"/>
              <w:jc w:val="center"/>
            </w:pPr>
            <w:r/>
            <w:r>
              <w:rPr>
                <w:rFonts w:ascii="Times New Roman" w:hAnsi="Times New Roman"/>
                <w:sz w:val="14"/>
              </w:rPr>
              <w:t>Yes (reported)</w:t>
            </w:r>
          </w:p>
        </w:tc>
        <w:tc>
          <w:tcPr>
            <w:tcW w:type="dxa" w:w="1224"/>
            <w:tcBorders>
              <w:bottom w:val="single" w:sz="10" w:color="000000"/>
            </w:tcBorders>
          </w:tcPr>
          <w:p>
            <w:pPr>
              <w:spacing w:after="20" w:line="252" w:lineRule="auto"/>
              <w:jc w:val="center"/>
            </w:pPr>
            <w:r/>
            <w:r>
              <w:rPr>
                <w:rFonts w:ascii="Times New Roman" w:hAnsi="Times New Roman"/>
                <w:sz w:val="14"/>
              </w:rPr>
              <w:t>Yes (reported)</w:t>
            </w:r>
          </w:p>
        </w:tc>
        <w:tc>
          <w:tcPr>
            <w:tcW w:type="dxa" w:w="1512"/>
            <w:tcBorders>
              <w:bottom w:val="single" w:sz="10" w:color="000000"/>
            </w:tcBorders>
          </w:tcPr>
          <w:p>
            <w:pPr>
              <w:spacing w:after="20" w:line="252" w:lineRule="auto"/>
              <w:jc w:val="center"/>
            </w:pPr>
            <w:r/>
            <w:r>
              <w:rPr>
                <w:rFonts w:ascii="Times New Roman" w:hAnsi="Times New Roman"/>
                <w:sz w:val="14"/>
              </w:rPr>
              <w:t>No (this paper)</w:t>
            </w:r>
          </w:p>
        </w:tc>
      </w:tr>
    </w:tbl>
    <w:p>
      <w:pPr>
        <w:spacing w:after="80"/>
      </w:pPr>
    </w:p>
    <w:p>
      <w:pPr>
        <w:pStyle w:val="Heading2"/>
      </w:pPr>
      <w:r>
        <w:t>4.5 Interpretation of results</w:t>
      </w:r>
    </w:p>
    <w:p>
      <w:pPr>
        <w:pStyle w:val="ListBullet"/>
        <w:spacing w:after="60"/>
        <w:jc w:val="both"/>
      </w:pPr>
      <w:r>
        <w:rPr>
          <w:rFonts w:ascii="Times New Roman" w:hAnsi="Times New Roman"/>
          <w:b/>
        </w:rPr>
        <w:t>Regimes are detectable; the label is not a forecast.</w:t>
      </w:r>
      <w:r>
        <w:rPr>
          <w:rFonts w:ascii="Times New Roman" w:hAnsi="Times New Roman"/>
        </w:rPr>
        <w:t xml:space="preserve"> The HMM recovers the turbulent phases of all three crises without labels, but its day-level states are noisy and gave no consistent benefit when removed from the allocator’s state (Section 4.7).</w:t>
      </w:r>
    </w:p>
    <w:p>
      <w:pPr>
        <w:pStyle w:val="ListBullet"/>
        <w:spacing w:after="60"/>
        <w:jc w:val="both"/>
      </w:pPr>
      <w:r>
        <w:rPr>
          <w:rFonts w:ascii="Times New Roman" w:hAnsi="Times New Roman"/>
          <w:b/>
        </w:rPr>
        <w:t>Shape similarity is a crisis detector, not a crisis identifier.</w:t>
      </w:r>
      <w:r>
        <w:rPr>
          <w:rFonts w:ascii="Times New Roman" w:hAnsi="Times New Roman"/>
        </w:rPr>
        <w:t xml:space="preserve"> Windows from crises look alike once reduced to normalised shapes (Fig. 7), so discriminating dot-com from GFC from COVID-19 across held-out blocks fails, while “crisis-like versus normal” works with few false alarms. The report’s confidence should therefore be read as proximity to a family of crash shapes, not as the probability that the period </w:t>
      </w:r>
      <w:r>
        <w:rPr>
          <w:rFonts w:ascii="Times New Roman" w:hAnsi="Times New Roman"/>
          <w:i/>
        </w:rPr>
        <w:t>is</w:t>
      </w:r>
      <w:r>
        <w:rPr>
          <w:rFonts w:ascii="Times New Roman" w:hAnsi="Times New Roman"/>
        </w:rPr>
        <w:t xml:space="preserve"> that event.</w:t>
      </w:r>
    </w:p>
    <w:p>
      <w:pPr>
        <w:pStyle w:val="ListBullet"/>
        <w:spacing w:after="60"/>
        <w:jc w:val="both"/>
      </w:pPr>
      <w:r>
        <w:rPr>
          <w:rFonts w:ascii="Times New Roman" w:hAnsi="Times New Roman"/>
          <w:b/>
        </w:rPr>
        <w:t>The Transformer is not the source of the signal.</w:t>
      </w:r>
      <w:r>
        <w:rPr>
          <w:rFonts w:ascii="Times New Roman" w:hAnsi="Times New Roman"/>
        </w:rPr>
        <w:t xml:space="preserve"> An untrained random encoder, the raw shape and seven summary statistics perform as well as the trained Transformer. This is expected for a 16-dimensional embedding trained on under a thousand strongly overlapping windows; the encoder acts as a fixed random projection that preserves distances.</w:t>
      </w:r>
    </w:p>
    <w:p>
      <w:pPr>
        <w:pStyle w:val="ListBullet"/>
        <w:spacing w:after="60"/>
        <w:jc w:val="both"/>
      </w:pPr>
      <w:r>
        <w:rPr>
          <w:rFonts w:ascii="Times New Roman" w:hAnsi="Times New Roman"/>
          <w:b/>
        </w:rPr>
        <w:t>Adaptive allocation did not beat simple baselines.</w:t>
      </w:r>
      <w:r>
        <w:rPr>
          <w:rFonts w:ascii="Times New Roman" w:hAnsi="Times New Roman"/>
        </w:rPr>
        <w:t xml:space="preserve"> Mean-variance is the strongest or near-strongest strategy in three of four settings. Apparent wins are fragile: the dot-com “success” was a gold position produced by an invalid split, and the volatility advantage depends on the seed.</w:t>
      </w:r>
    </w:p>
    <w:p>
      <w:pPr>
        <w:pStyle w:val="ListBullet"/>
        <w:spacing w:after="60"/>
        <w:jc w:val="both"/>
      </w:pPr>
      <w:r>
        <w:rPr>
          <w:rFonts w:ascii="Times New Roman" w:hAnsi="Times New Roman"/>
          <w:b/>
        </w:rPr>
        <w:t>Experimental design dominates the conclusion.</w:t>
      </w:r>
      <w:r>
        <w:rPr>
          <w:rFonts w:ascii="Times New Roman" w:hAnsi="Times New Roman"/>
        </w:rPr>
        <w:t xml:space="preserve"> A one-line change in the data (a bond fund instead of gold futures) turns the best strategy into the worst, underlining the need for the diagnostics reported here.</w:t>
      </w:r>
    </w:p>
    <w:p>
      <w:pPr>
        <w:pStyle w:val="Heading2"/>
      </w:pPr>
      <w:r>
        <w:t>4.6 Statistical analysis</w:t>
      </w:r>
    </w:p>
    <w:p>
      <w:pPr>
        <w:keepNext/>
        <w:spacing w:after="60" w:before="160"/>
      </w:pPr>
      <w:r>
        <w:rPr>
          <w:rFonts w:ascii="Times New Roman" w:hAnsi="Times New Roman"/>
          <w:b/>
          <w:sz w:val="19"/>
        </w:rPr>
        <w:t xml:space="preserve">Table 11. </w:t>
      </w:r>
      <w:r>
        <w:rPr>
          <w:rFonts w:ascii="Times New Roman" w:hAnsi="Times New Roman"/>
          <w:sz w:val="19"/>
        </w:rPr>
        <w:t>Paired stationary-bootstrap (5,000 resamples, mean block 10 days) intervals for the test-segment Sharpe-ratio difference between the adaptive policy (seed 42) and each baseline.</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2160"/>
            <w:tcBorders>
              <w:top w:val="single" w:sz="10" w:color="000000"/>
              <w:bottom w:val="single" w:sz="6" w:color="000000"/>
            </w:tcBorders>
          </w:tcPr>
          <w:p>
            <w:pPr>
              <w:spacing w:after="20"/>
              <w:jc w:val="left"/>
            </w:pPr>
            <w:r/>
            <w:r>
              <w:rPr>
                <w:rFonts w:ascii="Times New Roman" w:hAnsi="Times New Roman"/>
                <w:b/>
                <w:sz w:val="16"/>
              </w:rPr>
              <w:t>Setting</w:t>
            </w:r>
          </w:p>
        </w:tc>
        <w:tc>
          <w:tcPr>
            <w:tcW w:type="dxa" w:w="2016"/>
            <w:tcBorders>
              <w:top w:val="single" w:sz="10" w:color="000000"/>
              <w:bottom w:val="single" w:sz="6" w:color="000000"/>
            </w:tcBorders>
          </w:tcPr>
          <w:p>
            <w:pPr>
              <w:spacing w:after="20"/>
              <w:jc w:val="left"/>
            </w:pPr>
            <w:r/>
            <w:r>
              <w:rPr>
                <w:rFonts w:ascii="Times New Roman" w:hAnsi="Times New Roman"/>
                <w:b/>
                <w:sz w:val="16"/>
              </w:rPr>
              <w:t>Adaptive minus …</w:t>
            </w:r>
          </w:p>
        </w:tc>
        <w:tc>
          <w:tcPr>
            <w:tcW w:type="dxa" w:w="1152"/>
            <w:tcBorders>
              <w:top w:val="single" w:sz="10" w:color="000000"/>
              <w:bottom w:val="single" w:sz="6" w:color="000000"/>
            </w:tcBorders>
          </w:tcPr>
          <w:p>
            <w:pPr>
              <w:spacing w:after="20"/>
              <w:jc w:val="center"/>
            </w:pPr>
            <w:r/>
            <w:r>
              <w:rPr>
                <w:rFonts w:ascii="Times New Roman" w:hAnsi="Times New Roman"/>
                <w:b/>
                <w:sz w:val="16"/>
              </w:rPr>
              <w:t>ΔSharpe</w:t>
            </w:r>
          </w:p>
        </w:tc>
        <w:tc>
          <w:tcPr>
            <w:tcW w:type="dxa" w:w="2160"/>
            <w:tcBorders>
              <w:top w:val="single" w:sz="10" w:color="000000"/>
              <w:bottom w:val="single" w:sz="6" w:color="000000"/>
            </w:tcBorders>
          </w:tcPr>
          <w:p>
            <w:pPr>
              <w:spacing w:after="20"/>
              <w:jc w:val="center"/>
            </w:pPr>
            <w:r/>
            <w:r>
              <w:rPr>
                <w:rFonts w:ascii="Times New Roman" w:hAnsi="Times New Roman"/>
                <w:b/>
                <w:sz w:val="16"/>
              </w:rPr>
              <w:t>95% bootstrap CI</w:t>
            </w:r>
          </w:p>
        </w:tc>
        <w:tc>
          <w:tcPr>
            <w:tcW w:type="dxa" w:w="1152"/>
            <w:tcBorders>
              <w:top w:val="single" w:sz="10" w:color="000000"/>
              <w:bottom w:val="single" w:sz="6" w:color="000000"/>
            </w:tcBorders>
          </w:tcPr>
          <w:p>
            <w:pPr>
              <w:spacing w:after="20"/>
              <w:jc w:val="center"/>
            </w:pPr>
            <w:r/>
            <w:r>
              <w:rPr>
                <w:rFonts w:ascii="Times New Roman" w:hAnsi="Times New Roman"/>
                <w:b/>
                <w:sz w:val="16"/>
              </w:rPr>
              <w:t>P(Δ ≤ 0)</w:t>
            </w:r>
          </w:p>
        </w:tc>
      </w:tr>
      <w:tr>
        <w:tc>
          <w:tcPr>
            <w:tcW w:type="dxa" w:w="2160"/>
          </w:tcPr>
          <w:p>
            <w:pPr>
              <w:spacing w:after="20" w:line="252" w:lineRule="auto"/>
              <w:jc w:val="left"/>
            </w:pPr>
            <w:r/>
            <w:r>
              <w:rPr>
                <w:rFonts w:ascii="Times New Roman" w:hAnsi="Times New Roman"/>
                <w:sz w:val="16"/>
              </w:rPr>
              <w:t>Dot-com (as deployed)</w:t>
            </w:r>
          </w:p>
        </w:tc>
        <w:tc>
          <w:tcPr>
            <w:tcW w:type="dxa" w:w="2016"/>
          </w:tcPr>
          <w:p>
            <w:pPr>
              <w:spacing w:after="20" w:line="252" w:lineRule="auto"/>
              <w:jc w:val="left"/>
            </w:pPr>
            <w:r/>
            <w:r>
              <w:rPr>
                <w:rFonts w:ascii="Times New Roman" w:hAnsi="Times New Roman"/>
                <w:sz w:val="16"/>
              </w:rPr>
              <w:t>vs Mean-Variance</w:t>
            </w:r>
          </w:p>
        </w:tc>
        <w:tc>
          <w:tcPr>
            <w:tcW w:type="dxa" w:w="1152"/>
          </w:tcPr>
          <w:p>
            <w:pPr>
              <w:spacing w:after="20" w:line="252" w:lineRule="auto"/>
              <w:jc w:val="center"/>
            </w:pPr>
            <w:r/>
            <w:r>
              <w:rPr>
                <w:rFonts w:ascii="Times New Roman" w:hAnsi="Times New Roman"/>
                <w:sz w:val="16"/>
              </w:rPr>
              <w:t>+0.17</w:t>
            </w:r>
          </w:p>
        </w:tc>
        <w:tc>
          <w:tcPr>
            <w:tcW w:type="dxa" w:w="2160"/>
          </w:tcPr>
          <w:p>
            <w:pPr>
              <w:spacing w:after="20" w:line="252" w:lineRule="auto"/>
              <w:jc w:val="center"/>
            </w:pPr>
            <w:r/>
            <w:r>
              <w:rPr>
                <w:rFonts w:ascii="Times New Roman" w:hAnsi="Times New Roman"/>
                <w:sz w:val="16"/>
              </w:rPr>
              <w:t>[-0.77, +1.19]</w:t>
            </w:r>
          </w:p>
        </w:tc>
        <w:tc>
          <w:tcPr>
            <w:tcW w:type="dxa" w:w="1152"/>
          </w:tcPr>
          <w:p>
            <w:pPr>
              <w:spacing w:after="20" w:line="252" w:lineRule="auto"/>
              <w:jc w:val="center"/>
            </w:pPr>
            <w:r/>
            <w:r>
              <w:rPr>
                <w:rFonts w:ascii="Times New Roman" w:hAnsi="Times New Roman"/>
                <w:sz w:val="16"/>
              </w:rPr>
              <w:t>0.36</w:t>
            </w:r>
          </w:p>
        </w:tc>
      </w:tr>
      <w:tr>
        <w:tc>
          <w:tcPr>
            <w:tcW w:type="dxa" w:w="2160"/>
          </w:tcPr>
          <w:p>
            <w:pPr>
              <w:spacing w:after="20" w:line="252" w:lineRule="auto"/>
              <w:jc w:val="left"/>
            </w:pPr>
            <w:r/>
          </w:p>
        </w:tc>
        <w:tc>
          <w:tcPr>
            <w:tcW w:type="dxa" w:w="2016"/>
          </w:tcPr>
          <w:p>
            <w:pPr>
              <w:spacing w:after="20" w:line="252" w:lineRule="auto"/>
              <w:jc w:val="left"/>
            </w:pPr>
            <w:r/>
            <w:r>
              <w:rPr>
                <w:rFonts w:ascii="Times New Roman" w:hAnsi="Times New Roman"/>
                <w:sz w:val="16"/>
              </w:rPr>
              <w:t>vs Equal-Weight</w:t>
            </w:r>
          </w:p>
        </w:tc>
        <w:tc>
          <w:tcPr>
            <w:tcW w:type="dxa" w:w="1152"/>
          </w:tcPr>
          <w:p>
            <w:pPr>
              <w:spacing w:after="20" w:line="252" w:lineRule="auto"/>
              <w:jc w:val="center"/>
            </w:pPr>
            <w:r/>
            <w:r>
              <w:rPr>
                <w:rFonts w:ascii="Times New Roman" w:hAnsi="Times New Roman"/>
                <w:sz w:val="16"/>
              </w:rPr>
              <w:t>+0.91</w:t>
            </w:r>
          </w:p>
        </w:tc>
        <w:tc>
          <w:tcPr>
            <w:tcW w:type="dxa" w:w="2160"/>
          </w:tcPr>
          <w:p>
            <w:pPr>
              <w:spacing w:after="20" w:line="252" w:lineRule="auto"/>
              <w:jc w:val="center"/>
            </w:pPr>
            <w:r/>
            <w:r>
              <w:rPr>
                <w:rFonts w:ascii="Times New Roman" w:hAnsi="Times New Roman"/>
                <w:sz w:val="16"/>
              </w:rPr>
              <w:t>[-0.46, +2.28]</w:t>
            </w:r>
          </w:p>
        </w:tc>
        <w:tc>
          <w:tcPr>
            <w:tcW w:type="dxa" w:w="1152"/>
          </w:tcPr>
          <w:p>
            <w:pPr>
              <w:spacing w:after="20" w:line="252" w:lineRule="auto"/>
              <w:jc w:val="center"/>
            </w:pPr>
            <w:r/>
            <w:r>
              <w:rPr>
                <w:rFonts w:ascii="Times New Roman" w:hAnsi="Times New Roman"/>
                <w:sz w:val="16"/>
              </w:rPr>
              <w:t>0.10</w:t>
            </w:r>
          </w:p>
        </w:tc>
      </w:tr>
      <w:tr>
        <w:tc>
          <w:tcPr>
            <w:tcW w:type="dxa" w:w="2160"/>
          </w:tcPr>
          <w:p>
            <w:pPr>
              <w:spacing w:after="20" w:line="252" w:lineRule="auto"/>
              <w:jc w:val="left"/>
            </w:pPr>
            <w:r/>
            <w:r>
              <w:rPr>
                <w:rFonts w:ascii="Times New Roman" w:hAnsi="Times New Roman"/>
                <w:sz w:val="16"/>
              </w:rPr>
              <w:t>Dot-com (corrected)</w:t>
            </w:r>
          </w:p>
        </w:tc>
        <w:tc>
          <w:tcPr>
            <w:tcW w:type="dxa" w:w="2016"/>
          </w:tcPr>
          <w:p>
            <w:pPr>
              <w:spacing w:after="20" w:line="252" w:lineRule="auto"/>
              <w:jc w:val="left"/>
            </w:pPr>
            <w:r/>
            <w:r>
              <w:rPr>
                <w:rFonts w:ascii="Times New Roman" w:hAnsi="Times New Roman"/>
                <w:sz w:val="16"/>
              </w:rPr>
              <w:t>vs Mean-Variance</w:t>
            </w:r>
          </w:p>
        </w:tc>
        <w:tc>
          <w:tcPr>
            <w:tcW w:type="dxa" w:w="1152"/>
          </w:tcPr>
          <w:p>
            <w:pPr>
              <w:spacing w:after="20" w:line="252" w:lineRule="auto"/>
              <w:jc w:val="center"/>
            </w:pPr>
            <w:r/>
            <w:r>
              <w:rPr>
                <w:rFonts w:ascii="Times New Roman" w:hAnsi="Times New Roman"/>
                <w:sz w:val="16"/>
              </w:rPr>
              <w:t>-1.04</w:t>
            </w:r>
          </w:p>
        </w:tc>
        <w:tc>
          <w:tcPr>
            <w:tcW w:type="dxa" w:w="2160"/>
          </w:tcPr>
          <w:p>
            <w:pPr>
              <w:spacing w:after="20" w:line="252" w:lineRule="auto"/>
              <w:jc w:val="center"/>
            </w:pPr>
            <w:r/>
            <w:r>
              <w:rPr>
                <w:rFonts w:ascii="Times New Roman" w:hAnsi="Times New Roman"/>
                <w:sz w:val="16"/>
              </w:rPr>
              <w:t>[-2.27, +0.16]</w:t>
            </w:r>
          </w:p>
        </w:tc>
        <w:tc>
          <w:tcPr>
            <w:tcW w:type="dxa" w:w="1152"/>
          </w:tcPr>
          <w:p>
            <w:pPr>
              <w:spacing w:after="20" w:line="252" w:lineRule="auto"/>
              <w:jc w:val="center"/>
            </w:pPr>
            <w:r/>
            <w:r>
              <w:rPr>
                <w:rFonts w:ascii="Times New Roman" w:hAnsi="Times New Roman"/>
                <w:sz w:val="16"/>
              </w:rPr>
              <w:t>0.95</w:t>
            </w:r>
          </w:p>
        </w:tc>
      </w:tr>
      <w:tr>
        <w:tc>
          <w:tcPr>
            <w:tcW w:type="dxa" w:w="2160"/>
          </w:tcPr>
          <w:p>
            <w:pPr>
              <w:spacing w:after="20" w:line="252" w:lineRule="auto"/>
              <w:jc w:val="left"/>
            </w:pPr>
            <w:r/>
          </w:p>
        </w:tc>
        <w:tc>
          <w:tcPr>
            <w:tcW w:type="dxa" w:w="2016"/>
          </w:tcPr>
          <w:p>
            <w:pPr>
              <w:spacing w:after="20" w:line="252" w:lineRule="auto"/>
              <w:jc w:val="left"/>
            </w:pPr>
            <w:r/>
            <w:r>
              <w:rPr>
                <w:rFonts w:ascii="Times New Roman" w:hAnsi="Times New Roman"/>
                <w:sz w:val="16"/>
              </w:rPr>
              <w:t>vs Equal-Weight</w:t>
            </w:r>
          </w:p>
        </w:tc>
        <w:tc>
          <w:tcPr>
            <w:tcW w:type="dxa" w:w="1152"/>
          </w:tcPr>
          <w:p>
            <w:pPr>
              <w:spacing w:after="20" w:line="252" w:lineRule="auto"/>
              <w:jc w:val="center"/>
            </w:pPr>
            <w:r/>
            <w:r>
              <w:rPr>
                <w:rFonts w:ascii="Times New Roman" w:hAnsi="Times New Roman"/>
                <w:sz w:val="16"/>
              </w:rPr>
              <w:t>-0.15</w:t>
            </w:r>
          </w:p>
        </w:tc>
        <w:tc>
          <w:tcPr>
            <w:tcW w:type="dxa" w:w="2160"/>
          </w:tcPr>
          <w:p>
            <w:pPr>
              <w:spacing w:after="20" w:line="252" w:lineRule="auto"/>
              <w:jc w:val="center"/>
            </w:pPr>
            <w:r/>
            <w:r>
              <w:rPr>
                <w:rFonts w:ascii="Times New Roman" w:hAnsi="Times New Roman"/>
                <w:sz w:val="16"/>
              </w:rPr>
              <w:t>[-0.53, +0.22]</w:t>
            </w:r>
          </w:p>
        </w:tc>
        <w:tc>
          <w:tcPr>
            <w:tcW w:type="dxa" w:w="1152"/>
          </w:tcPr>
          <w:p>
            <w:pPr>
              <w:spacing w:after="20" w:line="252" w:lineRule="auto"/>
              <w:jc w:val="center"/>
            </w:pPr>
            <w:r/>
            <w:r>
              <w:rPr>
                <w:rFonts w:ascii="Times New Roman" w:hAnsi="Times New Roman"/>
                <w:sz w:val="16"/>
              </w:rPr>
              <w:t>0.79</w:t>
            </w:r>
          </w:p>
        </w:tc>
      </w:tr>
      <w:tr>
        <w:tc>
          <w:tcPr>
            <w:tcW w:type="dxa" w:w="2160"/>
          </w:tcPr>
          <w:p>
            <w:pPr>
              <w:spacing w:after="20" w:line="252" w:lineRule="auto"/>
              <w:jc w:val="left"/>
            </w:pPr>
            <w:r/>
            <w:r>
              <w:rPr>
                <w:rFonts w:ascii="Times New Roman" w:hAnsi="Times New Roman"/>
                <w:sz w:val="16"/>
              </w:rPr>
              <w:t>2008 GFC</w:t>
            </w:r>
          </w:p>
        </w:tc>
        <w:tc>
          <w:tcPr>
            <w:tcW w:type="dxa" w:w="2016"/>
          </w:tcPr>
          <w:p>
            <w:pPr>
              <w:spacing w:after="20" w:line="252" w:lineRule="auto"/>
              <w:jc w:val="left"/>
            </w:pPr>
            <w:r/>
            <w:r>
              <w:rPr>
                <w:rFonts w:ascii="Times New Roman" w:hAnsi="Times New Roman"/>
                <w:sz w:val="16"/>
              </w:rPr>
              <w:t>vs Mean-Variance</w:t>
            </w:r>
          </w:p>
        </w:tc>
        <w:tc>
          <w:tcPr>
            <w:tcW w:type="dxa" w:w="1152"/>
          </w:tcPr>
          <w:p>
            <w:pPr>
              <w:spacing w:after="20" w:line="252" w:lineRule="auto"/>
              <w:jc w:val="center"/>
            </w:pPr>
            <w:r/>
            <w:r>
              <w:rPr>
                <w:rFonts w:ascii="Times New Roman" w:hAnsi="Times New Roman"/>
                <w:sz w:val="16"/>
              </w:rPr>
              <w:t>-0.31</w:t>
            </w:r>
          </w:p>
        </w:tc>
        <w:tc>
          <w:tcPr>
            <w:tcW w:type="dxa" w:w="2160"/>
          </w:tcPr>
          <w:p>
            <w:pPr>
              <w:spacing w:after="20" w:line="252" w:lineRule="auto"/>
              <w:jc w:val="center"/>
            </w:pPr>
            <w:r/>
            <w:r>
              <w:rPr>
                <w:rFonts w:ascii="Times New Roman" w:hAnsi="Times New Roman"/>
                <w:sz w:val="16"/>
              </w:rPr>
              <w:t>[-1.45, +0.72]</w:t>
            </w:r>
          </w:p>
        </w:tc>
        <w:tc>
          <w:tcPr>
            <w:tcW w:type="dxa" w:w="1152"/>
          </w:tcPr>
          <w:p>
            <w:pPr>
              <w:spacing w:after="20" w:line="252" w:lineRule="auto"/>
              <w:jc w:val="center"/>
            </w:pPr>
            <w:r/>
            <w:r>
              <w:rPr>
                <w:rFonts w:ascii="Times New Roman" w:hAnsi="Times New Roman"/>
                <w:sz w:val="16"/>
              </w:rPr>
              <w:t>0.72</w:t>
            </w:r>
          </w:p>
        </w:tc>
      </w:tr>
      <w:tr>
        <w:tc>
          <w:tcPr>
            <w:tcW w:type="dxa" w:w="2160"/>
          </w:tcPr>
          <w:p>
            <w:pPr>
              <w:spacing w:after="20" w:line="252" w:lineRule="auto"/>
              <w:jc w:val="left"/>
            </w:pPr>
            <w:r/>
          </w:p>
        </w:tc>
        <w:tc>
          <w:tcPr>
            <w:tcW w:type="dxa" w:w="2016"/>
          </w:tcPr>
          <w:p>
            <w:pPr>
              <w:spacing w:after="20" w:line="252" w:lineRule="auto"/>
              <w:jc w:val="left"/>
            </w:pPr>
            <w:r/>
            <w:r>
              <w:rPr>
                <w:rFonts w:ascii="Times New Roman" w:hAnsi="Times New Roman"/>
                <w:sz w:val="16"/>
              </w:rPr>
              <w:t>vs Equal-Weight</w:t>
            </w:r>
          </w:p>
        </w:tc>
        <w:tc>
          <w:tcPr>
            <w:tcW w:type="dxa" w:w="1152"/>
          </w:tcPr>
          <w:p>
            <w:pPr>
              <w:spacing w:after="20" w:line="252" w:lineRule="auto"/>
              <w:jc w:val="center"/>
            </w:pPr>
            <w:r/>
            <w:r>
              <w:rPr>
                <w:rFonts w:ascii="Times New Roman" w:hAnsi="Times New Roman"/>
                <w:sz w:val="16"/>
              </w:rPr>
              <w:t>-0.13</w:t>
            </w:r>
          </w:p>
        </w:tc>
        <w:tc>
          <w:tcPr>
            <w:tcW w:type="dxa" w:w="2160"/>
          </w:tcPr>
          <w:p>
            <w:pPr>
              <w:spacing w:after="20" w:line="252" w:lineRule="auto"/>
              <w:jc w:val="center"/>
            </w:pPr>
            <w:r/>
            <w:r>
              <w:rPr>
                <w:rFonts w:ascii="Times New Roman" w:hAnsi="Times New Roman"/>
                <w:sz w:val="16"/>
              </w:rPr>
              <w:t>[-1.47, +1.15]</w:t>
            </w:r>
          </w:p>
        </w:tc>
        <w:tc>
          <w:tcPr>
            <w:tcW w:type="dxa" w:w="1152"/>
          </w:tcPr>
          <w:p>
            <w:pPr>
              <w:spacing w:after="20" w:line="252" w:lineRule="auto"/>
              <w:jc w:val="center"/>
            </w:pPr>
            <w:r/>
            <w:r>
              <w:rPr>
                <w:rFonts w:ascii="Times New Roman" w:hAnsi="Times New Roman"/>
                <w:sz w:val="16"/>
              </w:rPr>
              <w:t>0.60</w:t>
            </w:r>
          </w:p>
        </w:tc>
      </w:tr>
      <w:tr>
        <w:tc>
          <w:tcPr>
            <w:tcW w:type="dxa" w:w="2160"/>
          </w:tcPr>
          <w:p>
            <w:pPr>
              <w:spacing w:after="20" w:line="252" w:lineRule="auto"/>
              <w:jc w:val="left"/>
            </w:pPr>
            <w:r/>
            <w:r>
              <w:rPr>
                <w:rFonts w:ascii="Times New Roman" w:hAnsi="Times New Roman"/>
                <w:sz w:val="16"/>
              </w:rPr>
              <w:t>COVID-19</w:t>
            </w:r>
          </w:p>
        </w:tc>
        <w:tc>
          <w:tcPr>
            <w:tcW w:type="dxa" w:w="2016"/>
          </w:tcPr>
          <w:p>
            <w:pPr>
              <w:spacing w:after="20" w:line="252" w:lineRule="auto"/>
              <w:jc w:val="left"/>
            </w:pPr>
            <w:r/>
            <w:r>
              <w:rPr>
                <w:rFonts w:ascii="Times New Roman" w:hAnsi="Times New Roman"/>
                <w:sz w:val="16"/>
              </w:rPr>
              <w:t>vs Mean-Variance</w:t>
            </w:r>
          </w:p>
        </w:tc>
        <w:tc>
          <w:tcPr>
            <w:tcW w:type="dxa" w:w="1152"/>
          </w:tcPr>
          <w:p>
            <w:pPr>
              <w:spacing w:after="20" w:line="252" w:lineRule="auto"/>
              <w:jc w:val="center"/>
            </w:pPr>
            <w:r/>
            <w:r>
              <w:rPr>
                <w:rFonts w:ascii="Times New Roman" w:hAnsi="Times New Roman"/>
                <w:sz w:val="16"/>
              </w:rPr>
              <w:t>-0.10</w:t>
            </w:r>
          </w:p>
        </w:tc>
        <w:tc>
          <w:tcPr>
            <w:tcW w:type="dxa" w:w="2160"/>
          </w:tcPr>
          <w:p>
            <w:pPr>
              <w:spacing w:after="20" w:line="252" w:lineRule="auto"/>
              <w:jc w:val="center"/>
            </w:pPr>
            <w:r/>
            <w:r>
              <w:rPr>
                <w:rFonts w:ascii="Times New Roman" w:hAnsi="Times New Roman"/>
                <w:sz w:val="16"/>
              </w:rPr>
              <w:t>[-0.94, +0.77]</w:t>
            </w:r>
          </w:p>
        </w:tc>
        <w:tc>
          <w:tcPr>
            <w:tcW w:type="dxa" w:w="1152"/>
          </w:tcPr>
          <w:p>
            <w:pPr>
              <w:spacing w:after="20" w:line="252" w:lineRule="auto"/>
              <w:jc w:val="center"/>
            </w:pPr>
            <w:r/>
            <w:r>
              <w:rPr>
                <w:rFonts w:ascii="Times New Roman" w:hAnsi="Times New Roman"/>
                <w:sz w:val="16"/>
              </w:rPr>
              <w:t>0.59</w:t>
            </w:r>
          </w:p>
        </w:tc>
      </w:tr>
      <w:tr>
        <w:tc>
          <w:tcPr>
            <w:tcW w:type="dxa" w:w="2160"/>
            <w:tcBorders>
              <w:bottom w:val="single" w:sz="10" w:color="000000"/>
            </w:tcBorders>
          </w:tcPr>
          <w:p>
            <w:pPr>
              <w:spacing w:after="20" w:line="252" w:lineRule="auto"/>
              <w:jc w:val="left"/>
            </w:pPr>
            <w:r/>
          </w:p>
        </w:tc>
        <w:tc>
          <w:tcPr>
            <w:tcW w:type="dxa" w:w="2016"/>
            <w:tcBorders>
              <w:bottom w:val="single" w:sz="10" w:color="000000"/>
            </w:tcBorders>
          </w:tcPr>
          <w:p>
            <w:pPr>
              <w:spacing w:after="20" w:line="252" w:lineRule="auto"/>
              <w:jc w:val="left"/>
            </w:pPr>
            <w:r/>
            <w:r>
              <w:rPr>
                <w:rFonts w:ascii="Times New Roman" w:hAnsi="Times New Roman"/>
                <w:sz w:val="16"/>
              </w:rPr>
              <w:t>vs Equal-Weight</w:t>
            </w:r>
          </w:p>
        </w:tc>
        <w:tc>
          <w:tcPr>
            <w:tcW w:type="dxa" w:w="1152"/>
            <w:tcBorders>
              <w:bottom w:val="single" w:sz="10" w:color="000000"/>
            </w:tcBorders>
          </w:tcPr>
          <w:p>
            <w:pPr>
              <w:spacing w:after="20" w:line="252" w:lineRule="auto"/>
              <w:jc w:val="center"/>
            </w:pPr>
            <w:r/>
            <w:r>
              <w:rPr>
                <w:rFonts w:ascii="Times New Roman" w:hAnsi="Times New Roman"/>
                <w:sz w:val="16"/>
              </w:rPr>
              <w:t>+0.02</w:t>
            </w:r>
          </w:p>
        </w:tc>
        <w:tc>
          <w:tcPr>
            <w:tcW w:type="dxa" w:w="2160"/>
            <w:tcBorders>
              <w:bottom w:val="single" w:sz="10" w:color="000000"/>
            </w:tcBorders>
          </w:tcPr>
          <w:p>
            <w:pPr>
              <w:spacing w:after="20" w:line="252" w:lineRule="auto"/>
              <w:jc w:val="center"/>
            </w:pPr>
            <w:r/>
            <w:r>
              <w:rPr>
                <w:rFonts w:ascii="Times New Roman" w:hAnsi="Times New Roman"/>
                <w:sz w:val="16"/>
              </w:rPr>
              <w:t>[-0.84, +0.79]</w:t>
            </w:r>
          </w:p>
        </w:tc>
        <w:tc>
          <w:tcPr>
            <w:tcW w:type="dxa" w:w="1152"/>
            <w:tcBorders>
              <w:bottom w:val="single" w:sz="10" w:color="000000"/>
            </w:tcBorders>
          </w:tcPr>
          <w:p>
            <w:pPr>
              <w:spacing w:after="20" w:line="252" w:lineRule="auto"/>
              <w:jc w:val="center"/>
            </w:pPr>
            <w:r/>
            <w:r>
              <w:rPr>
                <w:rFonts w:ascii="Times New Roman" w:hAnsi="Times New Roman"/>
                <w:sz w:val="16"/>
              </w:rPr>
              <w:t>0.51</w:t>
            </w:r>
          </w:p>
        </w:tc>
      </w:tr>
    </w:tbl>
    <w:p>
      <w:pPr>
        <w:spacing w:after="80"/>
      </w:pPr>
    </w:p>
    <w:p>
      <w:pPr>
        <w:keepNext w:val="0"/>
        <w:spacing w:after="120"/>
        <w:jc w:val="both"/>
      </w:pPr>
      <w:r>
        <w:rPr>
          <w:rFonts w:ascii="Times New Roman" w:hAnsi="Times New Roman"/>
        </w:rPr>
        <w:t>Every interval contains zero: with test segments of 473–957 daily returns, none of the observed Sharpe differences is statistically distinguishable from zero, in either direction, so neither the dot-com “win” nor the other “losses” should be over-interpreted as evidence about the method. Seed-to-seed variability is a larger effect than most observed differences (Table 12: standard deviations of 0.08–0.23 Sharpe units in three settings), and the blocked cross-validation standard deviation over encoder seeds is small (≤ 0.009 balanced accuracy), so the matcher conclusions are stable even though the allocator’s are not. Eight comparisons are reported without multiplicity correction; given that no interval excludes zero, correction would not change any conclusion.</w:t>
      </w:r>
    </w:p>
    <w:p>
      <w:pPr>
        <w:pStyle w:val="Heading2"/>
      </w:pPr>
      <w:r>
        <w:t>4.7 Ablation study</w:t>
      </w:r>
    </w:p>
    <w:p>
      <w:pPr>
        <w:keepNext w:val="0"/>
        <w:spacing w:after="120"/>
        <w:jc w:val="both"/>
      </w:pPr>
      <w:r>
        <w:rPr>
          <w:rFonts w:ascii="Times New Roman" w:hAnsi="Times New Roman"/>
          <w:b/>
        </w:rPr>
        <w:t>Allocator.</w:t>
      </w:r>
      <w:r>
        <w:rPr>
          <w:rFonts w:ascii="Times New Roman" w:hAnsi="Times New Roman"/>
        </w:rPr>
        <w:t xml:space="preserve"> Table 12 and Fig. 13 give mean ± s.d. test-segment results over six seeds. Removing the regime features (no-regime) does not systematically change the outcome: it lowers the GFC Sharpe ratio slightly and raises the COVID-19 one, both within one standard deviation. More tellingly, the </w:t>
      </w:r>
      <w:r>
        <w:rPr>
          <w:rFonts w:ascii="Times New Roman" w:hAnsi="Times New Roman"/>
          <w:i/>
        </w:rPr>
        <w:t>untrained</w:t>
      </w:r>
      <w:r>
        <w:rPr>
          <w:rFonts w:ascii="Times New Roman" w:hAnsi="Times New Roman"/>
        </w:rPr>
        <w:t xml:space="preserve"> random policy matches or exceeds the trained policy in the GFC and COVID-19 settings (Sharpe 0.59 vs 0.36 and 1.02 vs 0.90) and has lower volatility in COVID-19 (14.1% vs 19.2%): evolution-strategies training on the short pre-crisis segment overfits and does not generalise to the crisis. In the as-deployed dot-com setting the </w:t>
      </w:r>
      <w:r>
        <w:rPr>
          <w:rFonts w:ascii="Times New Roman" w:hAnsi="Times New Roman"/>
          <w:i/>
        </w:rPr>
        <w:t>trained</w:t>
      </w:r>
      <w:r>
        <w:rPr>
          <w:rFonts w:ascii="Times New Roman" w:hAnsi="Times New Roman"/>
        </w:rPr>
        <w:t xml:space="preserve"> variants are seed-independent because they converge to the same constant gold portfolio, while the untrained policy is not.</w:t>
      </w:r>
    </w:p>
    <w:p>
      <w:pPr>
        <w:keepNext/>
        <w:spacing w:after="60" w:before="160"/>
      </w:pPr>
      <w:r>
        <w:rPr>
          <w:rFonts w:ascii="Times New Roman" w:hAnsi="Times New Roman"/>
          <w:b/>
          <w:sz w:val="19"/>
        </w:rPr>
        <w:t xml:space="preserve">Table 12. </w:t>
      </w:r>
      <w:r>
        <w:rPr>
          <w:rFonts w:ascii="Times New Roman" w:hAnsi="Times New Roman"/>
          <w:sz w:val="19"/>
        </w:rPr>
        <w:t>Allocator ablation: test-segment results, mean ± s.d. over six seeds (baselines are deterministic). The last column is the share of seeds in which the adaptive variant’s volatility is lower than that of both baselines.</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1656"/>
            <w:tcBorders>
              <w:top w:val="single" w:sz="10" w:color="000000"/>
              <w:bottom w:val="single" w:sz="6" w:color="000000"/>
            </w:tcBorders>
          </w:tcPr>
          <w:p>
            <w:pPr>
              <w:spacing w:after="20"/>
              <w:jc w:val="left"/>
            </w:pPr>
            <w:r/>
            <w:r>
              <w:rPr>
                <w:rFonts w:ascii="Times New Roman" w:hAnsi="Times New Roman"/>
                <w:b/>
                <w:sz w:val="15"/>
              </w:rPr>
              <w:t>Setting</w:t>
            </w:r>
          </w:p>
        </w:tc>
        <w:tc>
          <w:tcPr>
            <w:tcW w:type="dxa" w:w="1944"/>
            <w:tcBorders>
              <w:top w:val="single" w:sz="10" w:color="000000"/>
              <w:bottom w:val="single" w:sz="6" w:color="000000"/>
            </w:tcBorders>
          </w:tcPr>
          <w:p>
            <w:pPr>
              <w:spacing w:after="20"/>
              <w:jc w:val="left"/>
            </w:pPr>
            <w:r/>
            <w:r>
              <w:rPr>
                <w:rFonts w:ascii="Times New Roman" w:hAnsi="Times New Roman"/>
                <w:b/>
                <w:sz w:val="15"/>
              </w:rPr>
              <w:t>Strategy / variant</w:t>
            </w:r>
          </w:p>
        </w:tc>
        <w:tc>
          <w:tcPr>
            <w:tcW w:type="dxa" w:w="1440"/>
            <w:tcBorders>
              <w:top w:val="single" w:sz="10" w:color="000000"/>
              <w:bottom w:val="single" w:sz="6" w:color="000000"/>
            </w:tcBorders>
          </w:tcPr>
          <w:p>
            <w:pPr>
              <w:spacing w:after="20"/>
              <w:jc w:val="center"/>
            </w:pPr>
            <w:r/>
            <w:r>
              <w:rPr>
                <w:rFonts w:ascii="Times New Roman" w:hAnsi="Times New Roman"/>
                <w:b/>
                <w:sz w:val="15"/>
              </w:rPr>
              <w:t>Sharpe</w:t>
            </w:r>
          </w:p>
        </w:tc>
        <w:tc>
          <w:tcPr>
            <w:tcW w:type="dxa" w:w="1656"/>
            <w:tcBorders>
              <w:top w:val="single" w:sz="10" w:color="000000"/>
              <w:bottom w:val="single" w:sz="6" w:color="000000"/>
            </w:tcBorders>
          </w:tcPr>
          <w:p>
            <w:pPr>
              <w:spacing w:after="20"/>
              <w:jc w:val="center"/>
            </w:pPr>
            <w:r/>
            <w:r>
              <w:rPr>
                <w:rFonts w:ascii="Times New Roman" w:hAnsi="Times New Roman"/>
                <w:b/>
                <w:sz w:val="15"/>
              </w:rPr>
              <w:t>Ann. volatility</w:t>
            </w:r>
          </w:p>
        </w:tc>
        <w:tc>
          <w:tcPr>
            <w:tcW w:type="dxa" w:w="1656"/>
            <w:tcBorders>
              <w:top w:val="single" w:sz="10" w:color="000000"/>
              <w:bottom w:val="single" w:sz="6" w:color="000000"/>
            </w:tcBorders>
          </w:tcPr>
          <w:p>
            <w:pPr>
              <w:spacing w:after="20"/>
              <w:jc w:val="center"/>
            </w:pPr>
            <w:r/>
            <w:r>
              <w:rPr>
                <w:rFonts w:ascii="Times New Roman" w:hAnsi="Times New Roman"/>
                <w:b/>
                <w:sz w:val="15"/>
              </w:rPr>
              <w:t>Max drawdown</w:t>
            </w:r>
          </w:p>
        </w:tc>
        <w:tc>
          <w:tcPr>
            <w:tcW w:type="dxa" w:w="1368"/>
            <w:tcBorders>
              <w:top w:val="single" w:sz="10" w:color="000000"/>
              <w:bottom w:val="single" w:sz="6" w:color="000000"/>
            </w:tcBorders>
          </w:tcPr>
          <w:p>
            <w:pPr>
              <w:spacing w:after="20"/>
              <w:jc w:val="center"/>
            </w:pPr>
            <w:r/>
            <w:r>
              <w:rPr>
                <w:rFonts w:ascii="Times New Roman" w:hAnsi="Times New Roman"/>
                <w:b/>
                <w:sz w:val="15"/>
              </w:rPr>
              <w:t>Seeds with lowest volatility</w:t>
            </w:r>
          </w:p>
        </w:tc>
      </w:tr>
      <w:tr>
        <w:tc>
          <w:tcPr>
            <w:tcW w:type="dxa" w:w="1656"/>
            <w:shd w:val="clear" w:color="auto" w:fill="EEF1F6"/>
          </w:tcPr>
          <w:p>
            <w:pPr>
              <w:spacing w:after="20" w:line="252" w:lineRule="auto"/>
              <w:jc w:val="left"/>
            </w:pPr>
            <w:r/>
            <w:r>
              <w:rPr>
                <w:rFonts w:ascii="Times New Roman" w:hAnsi="Times New Roman"/>
                <w:sz w:val="15"/>
              </w:rPr>
              <w:t>Dot-com (as deployed)</w:t>
            </w:r>
          </w:p>
        </w:tc>
        <w:tc>
          <w:tcPr>
            <w:tcW w:type="dxa" w:w="1944"/>
            <w:shd w:val="clear" w:color="auto" w:fill="EEF1F6"/>
          </w:tcPr>
          <w:p>
            <w:pPr>
              <w:spacing w:after="20" w:line="252" w:lineRule="auto"/>
              <w:jc w:val="left"/>
            </w:pPr>
            <w:r/>
            <w:r>
              <w:rPr>
                <w:rFonts w:ascii="Times New Roman" w:hAnsi="Times New Roman"/>
                <w:sz w:val="15"/>
              </w:rPr>
              <w:t>Equal-Weight</w:t>
            </w:r>
          </w:p>
        </w:tc>
        <w:tc>
          <w:tcPr>
            <w:tcW w:type="dxa" w:w="1440"/>
            <w:shd w:val="clear" w:color="auto" w:fill="EEF1F6"/>
          </w:tcPr>
          <w:p>
            <w:pPr>
              <w:spacing w:after="20" w:line="252" w:lineRule="auto"/>
              <w:jc w:val="center"/>
            </w:pPr>
            <w:r/>
            <w:r>
              <w:rPr>
                <w:rFonts w:ascii="Times New Roman" w:hAnsi="Times New Roman"/>
                <w:sz w:val="15"/>
              </w:rPr>
              <w:t>-0.16</w:t>
            </w:r>
          </w:p>
        </w:tc>
        <w:tc>
          <w:tcPr>
            <w:tcW w:type="dxa" w:w="1656"/>
            <w:shd w:val="clear" w:color="auto" w:fill="EEF1F6"/>
          </w:tcPr>
          <w:p>
            <w:pPr>
              <w:spacing w:after="20" w:line="252" w:lineRule="auto"/>
              <w:jc w:val="center"/>
            </w:pPr>
            <w:r/>
            <w:r>
              <w:rPr>
                <w:rFonts w:ascii="Times New Roman" w:hAnsi="Times New Roman"/>
                <w:sz w:val="15"/>
              </w:rPr>
              <w:t>20.9%</w:t>
            </w:r>
          </w:p>
        </w:tc>
        <w:tc>
          <w:tcPr>
            <w:tcW w:type="dxa" w:w="1656"/>
            <w:shd w:val="clear" w:color="auto" w:fill="EEF1F6"/>
          </w:tcPr>
          <w:p>
            <w:pPr>
              <w:spacing w:after="20" w:line="252" w:lineRule="auto"/>
              <w:jc w:val="center"/>
            </w:pPr>
            <w:r/>
            <w:r>
              <w:rPr>
                <w:rFonts w:ascii="Times New Roman" w:hAnsi="Times New Roman"/>
                <w:sz w:val="15"/>
              </w:rPr>
              <w:t>-43.0%</w:t>
            </w:r>
          </w:p>
        </w:tc>
        <w:tc>
          <w:tcPr>
            <w:tcW w:type="dxa" w:w="1368"/>
            <w:shd w:val="clear" w:color="auto" w:fill="EEF1F6"/>
          </w:tcPr>
          <w:p>
            <w:pPr>
              <w:spacing w:after="20" w:line="252" w:lineRule="auto"/>
              <w:jc w:val="center"/>
            </w:pPr>
            <w:r/>
            <w:r>
              <w:rPr>
                <w:rFonts w:ascii="Times New Roman" w:hAnsi="Times New Roman"/>
                <w:sz w:val="15"/>
              </w:rPr>
              <w:t>n/a</w:t>
            </w:r>
          </w:p>
        </w:tc>
      </w:tr>
      <w:tr>
        <w:tc>
          <w:tcPr>
            <w:tcW w:type="dxa" w:w="1656"/>
          </w:tcPr>
          <w:p>
            <w:pPr>
              <w:spacing w:after="20" w:line="252" w:lineRule="auto"/>
              <w:jc w:val="left"/>
            </w:pPr>
            <w:r/>
          </w:p>
        </w:tc>
        <w:tc>
          <w:tcPr>
            <w:tcW w:type="dxa" w:w="1944"/>
          </w:tcPr>
          <w:p>
            <w:pPr>
              <w:spacing w:after="20" w:line="252" w:lineRule="auto"/>
              <w:jc w:val="left"/>
            </w:pPr>
            <w:r/>
            <w:r>
              <w:rPr>
                <w:rFonts w:ascii="Times New Roman" w:hAnsi="Times New Roman"/>
                <w:sz w:val="15"/>
              </w:rPr>
              <w:t>Mean-Variance</w:t>
            </w:r>
          </w:p>
        </w:tc>
        <w:tc>
          <w:tcPr>
            <w:tcW w:type="dxa" w:w="1440"/>
          </w:tcPr>
          <w:p>
            <w:pPr>
              <w:spacing w:after="20" w:line="252" w:lineRule="auto"/>
              <w:jc w:val="center"/>
            </w:pPr>
            <w:r/>
            <w:r>
              <w:rPr>
                <w:rFonts w:ascii="Times New Roman" w:hAnsi="Times New Roman"/>
                <w:sz w:val="15"/>
              </w:rPr>
              <w:t>0.66</w:t>
            </w:r>
          </w:p>
        </w:tc>
        <w:tc>
          <w:tcPr>
            <w:tcW w:type="dxa" w:w="1656"/>
          </w:tcPr>
          <w:p>
            <w:pPr>
              <w:spacing w:after="20" w:line="252" w:lineRule="auto"/>
              <w:jc w:val="center"/>
            </w:pPr>
            <w:r/>
            <w:r>
              <w:rPr>
                <w:rFonts w:ascii="Times New Roman" w:hAnsi="Times New Roman"/>
                <w:sz w:val="15"/>
              </w:rPr>
              <w:t>20.3%</w:t>
            </w:r>
          </w:p>
        </w:tc>
        <w:tc>
          <w:tcPr>
            <w:tcW w:type="dxa" w:w="1656"/>
          </w:tcPr>
          <w:p>
            <w:pPr>
              <w:spacing w:after="20" w:line="252" w:lineRule="auto"/>
              <w:jc w:val="center"/>
            </w:pPr>
            <w:r/>
            <w:r>
              <w:rPr>
                <w:rFonts w:ascii="Times New Roman" w:hAnsi="Times New Roman"/>
                <w:sz w:val="15"/>
              </w:rPr>
              <w:t>-17.7%</w:t>
            </w:r>
          </w:p>
        </w:tc>
        <w:tc>
          <w:tcPr>
            <w:tcW w:type="dxa" w:w="1368"/>
          </w:tcPr>
          <w:p>
            <w:pPr>
              <w:spacing w:after="20" w:line="252" w:lineRule="auto"/>
              <w:jc w:val="center"/>
            </w:pPr>
            <w:r/>
            <w:r>
              <w:rPr>
                <w:rFonts w:ascii="Times New Roman" w:hAnsi="Times New Roman"/>
                <w:sz w:val="15"/>
              </w:rPr>
              <w:t>n/a</w:t>
            </w:r>
          </w:p>
        </w:tc>
      </w:tr>
      <w:tr>
        <w:tc>
          <w:tcPr>
            <w:tcW w:type="dxa" w:w="1656"/>
          </w:tcPr>
          <w:p>
            <w:pPr>
              <w:spacing w:after="20" w:line="252" w:lineRule="auto"/>
              <w:jc w:val="left"/>
            </w:pPr>
            <w:r/>
          </w:p>
        </w:tc>
        <w:tc>
          <w:tcPr>
            <w:tcW w:type="dxa" w:w="1944"/>
          </w:tcPr>
          <w:p>
            <w:pPr>
              <w:spacing w:after="20" w:line="252" w:lineRule="auto"/>
              <w:jc w:val="left"/>
            </w:pPr>
            <w:r/>
            <w:r>
              <w:rPr>
                <w:rFonts w:ascii="Times New Roman" w:hAnsi="Times New Roman"/>
                <w:sz w:val="15"/>
              </w:rPr>
              <w:t>Adaptive (full)</w:t>
            </w:r>
          </w:p>
        </w:tc>
        <w:tc>
          <w:tcPr>
            <w:tcW w:type="dxa" w:w="1440"/>
          </w:tcPr>
          <w:p>
            <w:pPr>
              <w:spacing w:after="20" w:line="252" w:lineRule="auto"/>
              <w:jc w:val="center"/>
            </w:pPr>
            <w:r/>
            <w:r>
              <w:rPr>
                <w:rFonts w:ascii="Times New Roman" w:hAnsi="Times New Roman"/>
                <w:sz w:val="15"/>
              </w:rPr>
              <w:t>0.84 ± 0.00</w:t>
            </w:r>
          </w:p>
        </w:tc>
        <w:tc>
          <w:tcPr>
            <w:tcW w:type="dxa" w:w="1656"/>
          </w:tcPr>
          <w:p>
            <w:pPr>
              <w:spacing w:after="20" w:line="252" w:lineRule="auto"/>
              <w:jc w:val="center"/>
            </w:pPr>
            <w:r/>
            <w:r>
              <w:rPr>
                <w:rFonts w:ascii="Times New Roman" w:hAnsi="Times New Roman"/>
                <w:sz w:val="15"/>
              </w:rPr>
              <w:t>14.8% ± 0.0%</w:t>
            </w:r>
          </w:p>
        </w:tc>
        <w:tc>
          <w:tcPr>
            <w:tcW w:type="dxa" w:w="1656"/>
          </w:tcPr>
          <w:p>
            <w:pPr>
              <w:spacing w:after="20" w:line="252" w:lineRule="auto"/>
              <w:jc w:val="center"/>
            </w:pPr>
            <w:r/>
            <w:r>
              <w:rPr>
                <w:rFonts w:ascii="Times New Roman" w:hAnsi="Times New Roman"/>
                <w:sz w:val="15"/>
              </w:rPr>
              <w:t>-15.2% ± 0.0%</w:t>
            </w:r>
          </w:p>
        </w:tc>
        <w:tc>
          <w:tcPr>
            <w:tcW w:type="dxa" w:w="1368"/>
          </w:tcPr>
          <w:p>
            <w:pPr>
              <w:spacing w:after="20" w:line="252" w:lineRule="auto"/>
              <w:jc w:val="center"/>
            </w:pPr>
            <w:r/>
            <w:r>
              <w:rPr>
                <w:rFonts w:ascii="Times New Roman" w:hAnsi="Times New Roman"/>
                <w:sz w:val="15"/>
              </w:rPr>
              <w:t>100%</w:t>
            </w:r>
          </w:p>
        </w:tc>
      </w:tr>
      <w:tr>
        <w:tc>
          <w:tcPr>
            <w:tcW w:type="dxa" w:w="1656"/>
          </w:tcPr>
          <w:p>
            <w:pPr>
              <w:spacing w:after="20" w:line="252" w:lineRule="auto"/>
              <w:jc w:val="left"/>
            </w:pPr>
            <w:r/>
          </w:p>
        </w:tc>
        <w:tc>
          <w:tcPr>
            <w:tcW w:type="dxa" w:w="1944"/>
          </w:tcPr>
          <w:p>
            <w:pPr>
              <w:spacing w:after="20" w:line="252" w:lineRule="auto"/>
              <w:jc w:val="left"/>
            </w:pPr>
            <w:r/>
            <w:r>
              <w:rPr>
                <w:rFonts w:ascii="Times New Roman" w:hAnsi="Times New Roman"/>
                <w:sz w:val="15"/>
              </w:rPr>
              <w:t>Adaptive (no regime)</w:t>
            </w:r>
          </w:p>
        </w:tc>
        <w:tc>
          <w:tcPr>
            <w:tcW w:type="dxa" w:w="1440"/>
          </w:tcPr>
          <w:p>
            <w:pPr>
              <w:spacing w:after="20" w:line="252" w:lineRule="auto"/>
              <w:jc w:val="center"/>
            </w:pPr>
            <w:r/>
            <w:r>
              <w:rPr>
                <w:rFonts w:ascii="Times New Roman" w:hAnsi="Times New Roman"/>
                <w:sz w:val="15"/>
              </w:rPr>
              <w:t>0.84 ± 0.00</w:t>
            </w:r>
          </w:p>
        </w:tc>
        <w:tc>
          <w:tcPr>
            <w:tcW w:type="dxa" w:w="1656"/>
          </w:tcPr>
          <w:p>
            <w:pPr>
              <w:spacing w:after="20" w:line="252" w:lineRule="auto"/>
              <w:jc w:val="center"/>
            </w:pPr>
            <w:r/>
            <w:r>
              <w:rPr>
                <w:rFonts w:ascii="Times New Roman" w:hAnsi="Times New Roman"/>
                <w:sz w:val="15"/>
              </w:rPr>
              <w:t>14.8% ± 0.0%</w:t>
            </w:r>
          </w:p>
        </w:tc>
        <w:tc>
          <w:tcPr>
            <w:tcW w:type="dxa" w:w="1656"/>
          </w:tcPr>
          <w:p>
            <w:pPr>
              <w:spacing w:after="20" w:line="252" w:lineRule="auto"/>
              <w:jc w:val="center"/>
            </w:pPr>
            <w:r/>
            <w:r>
              <w:rPr>
                <w:rFonts w:ascii="Times New Roman" w:hAnsi="Times New Roman"/>
                <w:sz w:val="15"/>
              </w:rPr>
              <w:t>-15.2% ± 0.0%</w:t>
            </w:r>
          </w:p>
        </w:tc>
        <w:tc>
          <w:tcPr>
            <w:tcW w:type="dxa" w:w="1368"/>
          </w:tcPr>
          <w:p>
            <w:pPr>
              <w:spacing w:after="20" w:line="252" w:lineRule="auto"/>
              <w:jc w:val="center"/>
            </w:pPr>
            <w:r/>
            <w:r>
              <w:rPr>
                <w:rFonts w:ascii="Times New Roman" w:hAnsi="Times New Roman"/>
                <w:sz w:val="15"/>
              </w:rPr>
              <w:t>100%</w:t>
            </w:r>
          </w:p>
        </w:tc>
      </w:tr>
      <w:tr>
        <w:tc>
          <w:tcPr>
            <w:tcW w:type="dxa" w:w="1656"/>
          </w:tcPr>
          <w:p>
            <w:pPr>
              <w:spacing w:after="20" w:line="252" w:lineRule="auto"/>
              <w:jc w:val="left"/>
            </w:pPr>
            <w:r/>
          </w:p>
        </w:tc>
        <w:tc>
          <w:tcPr>
            <w:tcW w:type="dxa" w:w="1944"/>
          </w:tcPr>
          <w:p>
            <w:pPr>
              <w:spacing w:after="20" w:line="252" w:lineRule="auto"/>
              <w:jc w:val="left"/>
            </w:pPr>
            <w:r/>
            <w:r>
              <w:rPr>
                <w:rFonts w:ascii="Times New Roman" w:hAnsi="Times New Roman"/>
                <w:sz w:val="15"/>
              </w:rPr>
              <w:t>Adaptive (untrained)</w:t>
            </w:r>
          </w:p>
        </w:tc>
        <w:tc>
          <w:tcPr>
            <w:tcW w:type="dxa" w:w="1440"/>
          </w:tcPr>
          <w:p>
            <w:pPr>
              <w:spacing w:after="20" w:line="252" w:lineRule="auto"/>
              <w:jc w:val="center"/>
            </w:pPr>
            <w:r/>
            <w:r>
              <w:rPr>
                <w:rFonts w:ascii="Times New Roman" w:hAnsi="Times New Roman"/>
                <w:sz w:val="15"/>
              </w:rPr>
              <w:t>-0.27 ± 0.03</w:t>
            </w:r>
          </w:p>
        </w:tc>
        <w:tc>
          <w:tcPr>
            <w:tcW w:type="dxa" w:w="1656"/>
          </w:tcPr>
          <w:p>
            <w:pPr>
              <w:spacing w:after="20" w:line="252" w:lineRule="auto"/>
              <w:jc w:val="center"/>
            </w:pPr>
            <w:r/>
            <w:r>
              <w:rPr>
                <w:rFonts w:ascii="Times New Roman" w:hAnsi="Times New Roman"/>
                <w:sz w:val="15"/>
              </w:rPr>
              <w:t>26.9% ± 2.7%</w:t>
            </w:r>
          </w:p>
        </w:tc>
        <w:tc>
          <w:tcPr>
            <w:tcW w:type="dxa" w:w="1656"/>
          </w:tcPr>
          <w:p>
            <w:pPr>
              <w:spacing w:after="20" w:line="252" w:lineRule="auto"/>
              <w:jc w:val="center"/>
            </w:pPr>
            <w:r/>
            <w:r>
              <w:rPr>
                <w:rFonts w:ascii="Times New Roman" w:hAnsi="Times New Roman"/>
                <w:sz w:val="15"/>
              </w:rPr>
              <w:t>-54.3% ± 4.4%</w:t>
            </w:r>
          </w:p>
        </w:tc>
        <w:tc>
          <w:tcPr>
            <w:tcW w:type="dxa" w:w="1368"/>
          </w:tcPr>
          <w:p>
            <w:pPr>
              <w:spacing w:after="20" w:line="252" w:lineRule="auto"/>
              <w:jc w:val="center"/>
            </w:pPr>
            <w:r/>
            <w:r>
              <w:rPr>
                <w:rFonts w:ascii="Times New Roman" w:hAnsi="Times New Roman"/>
                <w:sz w:val="15"/>
              </w:rPr>
              <w:t>0%</w:t>
            </w:r>
          </w:p>
        </w:tc>
      </w:tr>
      <w:tr>
        <w:tc>
          <w:tcPr>
            <w:tcW w:type="dxa" w:w="1656"/>
            <w:shd w:val="clear" w:color="auto" w:fill="EEF1F6"/>
          </w:tcPr>
          <w:p>
            <w:pPr>
              <w:spacing w:after="20" w:line="252" w:lineRule="auto"/>
              <w:jc w:val="left"/>
            </w:pPr>
            <w:r/>
            <w:r>
              <w:rPr>
                <w:rFonts w:ascii="Times New Roman" w:hAnsi="Times New Roman"/>
                <w:sz w:val="15"/>
              </w:rPr>
              <w:t>Dot-com (corrected)</w:t>
            </w:r>
          </w:p>
        </w:tc>
        <w:tc>
          <w:tcPr>
            <w:tcW w:type="dxa" w:w="1944"/>
            <w:shd w:val="clear" w:color="auto" w:fill="EEF1F6"/>
          </w:tcPr>
          <w:p>
            <w:pPr>
              <w:spacing w:after="20" w:line="252" w:lineRule="auto"/>
              <w:jc w:val="left"/>
            </w:pPr>
            <w:r/>
            <w:r>
              <w:rPr>
                <w:rFonts w:ascii="Times New Roman" w:hAnsi="Times New Roman"/>
                <w:sz w:val="15"/>
              </w:rPr>
              <w:t>Equal-Weight</w:t>
            </w:r>
          </w:p>
        </w:tc>
        <w:tc>
          <w:tcPr>
            <w:tcW w:type="dxa" w:w="1440"/>
            <w:shd w:val="clear" w:color="auto" w:fill="EEF1F6"/>
          </w:tcPr>
          <w:p>
            <w:pPr>
              <w:spacing w:after="20" w:line="252" w:lineRule="auto"/>
              <w:jc w:val="center"/>
            </w:pPr>
            <w:r/>
            <w:r>
              <w:rPr>
                <w:rFonts w:ascii="Times New Roman" w:hAnsi="Times New Roman"/>
                <w:sz w:val="15"/>
              </w:rPr>
              <w:t>-0.28</w:t>
            </w:r>
          </w:p>
        </w:tc>
        <w:tc>
          <w:tcPr>
            <w:tcW w:type="dxa" w:w="1656"/>
            <w:shd w:val="clear" w:color="auto" w:fill="EEF1F6"/>
          </w:tcPr>
          <w:p>
            <w:pPr>
              <w:spacing w:after="20" w:line="252" w:lineRule="auto"/>
              <w:jc w:val="center"/>
            </w:pPr>
            <w:r/>
            <w:r>
              <w:rPr>
                <w:rFonts w:ascii="Times New Roman" w:hAnsi="Times New Roman"/>
                <w:sz w:val="15"/>
              </w:rPr>
              <w:t>21.2%</w:t>
            </w:r>
          </w:p>
        </w:tc>
        <w:tc>
          <w:tcPr>
            <w:tcW w:type="dxa" w:w="1656"/>
            <w:shd w:val="clear" w:color="auto" w:fill="EEF1F6"/>
          </w:tcPr>
          <w:p>
            <w:pPr>
              <w:spacing w:after="20" w:line="252" w:lineRule="auto"/>
              <w:jc w:val="center"/>
            </w:pPr>
            <w:r/>
            <w:r>
              <w:rPr>
                <w:rFonts w:ascii="Times New Roman" w:hAnsi="Times New Roman"/>
                <w:sz w:val="15"/>
              </w:rPr>
              <w:t>-46.5%</w:t>
            </w:r>
          </w:p>
        </w:tc>
        <w:tc>
          <w:tcPr>
            <w:tcW w:type="dxa" w:w="1368"/>
            <w:shd w:val="clear" w:color="auto" w:fill="EEF1F6"/>
          </w:tcPr>
          <w:p>
            <w:pPr>
              <w:spacing w:after="20" w:line="252" w:lineRule="auto"/>
              <w:jc w:val="center"/>
            </w:pPr>
            <w:r/>
            <w:r>
              <w:rPr>
                <w:rFonts w:ascii="Times New Roman" w:hAnsi="Times New Roman"/>
                <w:sz w:val="15"/>
              </w:rPr>
              <w:t>n/a</w:t>
            </w:r>
          </w:p>
        </w:tc>
      </w:tr>
      <w:tr>
        <w:tc>
          <w:tcPr>
            <w:tcW w:type="dxa" w:w="1656"/>
          </w:tcPr>
          <w:p>
            <w:pPr>
              <w:spacing w:after="20" w:line="252" w:lineRule="auto"/>
              <w:jc w:val="left"/>
            </w:pPr>
            <w:r/>
          </w:p>
        </w:tc>
        <w:tc>
          <w:tcPr>
            <w:tcW w:type="dxa" w:w="1944"/>
          </w:tcPr>
          <w:p>
            <w:pPr>
              <w:spacing w:after="20" w:line="252" w:lineRule="auto"/>
              <w:jc w:val="left"/>
            </w:pPr>
            <w:r/>
            <w:r>
              <w:rPr>
                <w:rFonts w:ascii="Times New Roman" w:hAnsi="Times New Roman"/>
                <w:sz w:val="15"/>
              </w:rPr>
              <w:t>Mean-Variance</w:t>
            </w:r>
          </w:p>
        </w:tc>
        <w:tc>
          <w:tcPr>
            <w:tcW w:type="dxa" w:w="1440"/>
          </w:tcPr>
          <w:p>
            <w:pPr>
              <w:spacing w:after="20" w:line="252" w:lineRule="auto"/>
              <w:jc w:val="center"/>
            </w:pPr>
            <w:r/>
            <w:r>
              <w:rPr>
                <w:rFonts w:ascii="Times New Roman" w:hAnsi="Times New Roman"/>
                <w:sz w:val="15"/>
              </w:rPr>
              <w:t>0.61</w:t>
            </w:r>
          </w:p>
        </w:tc>
        <w:tc>
          <w:tcPr>
            <w:tcW w:type="dxa" w:w="1656"/>
          </w:tcPr>
          <w:p>
            <w:pPr>
              <w:spacing w:after="20" w:line="252" w:lineRule="auto"/>
              <w:jc w:val="center"/>
            </w:pPr>
            <w:r/>
            <w:r>
              <w:rPr>
                <w:rFonts w:ascii="Times New Roman" w:hAnsi="Times New Roman"/>
                <w:sz w:val="15"/>
              </w:rPr>
              <w:t>13.7%</w:t>
            </w:r>
          </w:p>
        </w:tc>
        <w:tc>
          <w:tcPr>
            <w:tcW w:type="dxa" w:w="1656"/>
          </w:tcPr>
          <w:p>
            <w:pPr>
              <w:spacing w:after="20" w:line="252" w:lineRule="auto"/>
              <w:jc w:val="center"/>
            </w:pPr>
            <w:r/>
            <w:r>
              <w:rPr>
                <w:rFonts w:ascii="Times New Roman" w:hAnsi="Times New Roman"/>
                <w:sz w:val="15"/>
              </w:rPr>
              <w:t>-25.2%</w:t>
            </w:r>
          </w:p>
        </w:tc>
        <w:tc>
          <w:tcPr>
            <w:tcW w:type="dxa" w:w="1368"/>
          </w:tcPr>
          <w:p>
            <w:pPr>
              <w:spacing w:after="20" w:line="252" w:lineRule="auto"/>
              <w:jc w:val="center"/>
            </w:pPr>
            <w:r/>
            <w:r>
              <w:rPr>
                <w:rFonts w:ascii="Times New Roman" w:hAnsi="Times New Roman"/>
                <w:sz w:val="15"/>
              </w:rPr>
              <w:t>n/a</w:t>
            </w:r>
          </w:p>
        </w:tc>
      </w:tr>
      <w:tr>
        <w:tc>
          <w:tcPr>
            <w:tcW w:type="dxa" w:w="1656"/>
          </w:tcPr>
          <w:p>
            <w:pPr>
              <w:spacing w:after="20" w:line="252" w:lineRule="auto"/>
              <w:jc w:val="left"/>
            </w:pPr>
            <w:r/>
          </w:p>
        </w:tc>
        <w:tc>
          <w:tcPr>
            <w:tcW w:type="dxa" w:w="1944"/>
          </w:tcPr>
          <w:p>
            <w:pPr>
              <w:spacing w:after="20" w:line="252" w:lineRule="auto"/>
              <w:jc w:val="left"/>
            </w:pPr>
            <w:r/>
            <w:r>
              <w:rPr>
                <w:rFonts w:ascii="Times New Roman" w:hAnsi="Times New Roman"/>
                <w:sz w:val="15"/>
              </w:rPr>
              <w:t>Adaptive (full)</w:t>
            </w:r>
          </w:p>
        </w:tc>
        <w:tc>
          <w:tcPr>
            <w:tcW w:type="dxa" w:w="1440"/>
          </w:tcPr>
          <w:p>
            <w:pPr>
              <w:spacing w:after="20" w:line="252" w:lineRule="auto"/>
              <w:jc w:val="center"/>
            </w:pPr>
            <w:r/>
            <w:r>
              <w:rPr>
                <w:rFonts w:ascii="Times New Roman" w:hAnsi="Times New Roman"/>
                <w:sz w:val="15"/>
              </w:rPr>
              <w:t>-0.42 ± 0.08</w:t>
            </w:r>
          </w:p>
        </w:tc>
        <w:tc>
          <w:tcPr>
            <w:tcW w:type="dxa" w:w="1656"/>
          </w:tcPr>
          <w:p>
            <w:pPr>
              <w:spacing w:after="20" w:line="252" w:lineRule="auto"/>
              <w:jc w:val="center"/>
            </w:pPr>
            <w:r/>
            <w:r>
              <w:rPr>
                <w:rFonts w:ascii="Times New Roman" w:hAnsi="Times New Roman"/>
                <w:sz w:val="15"/>
              </w:rPr>
              <w:t>41.3% ± 3.0%</w:t>
            </w:r>
          </w:p>
        </w:tc>
        <w:tc>
          <w:tcPr>
            <w:tcW w:type="dxa" w:w="1656"/>
          </w:tcPr>
          <w:p>
            <w:pPr>
              <w:spacing w:after="20" w:line="252" w:lineRule="auto"/>
              <w:jc w:val="center"/>
            </w:pPr>
            <w:r/>
            <w:r>
              <w:rPr>
                <w:rFonts w:ascii="Times New Roman" w:hAnsi="Times New Roman"/>
                <w:sz w:val="15"/>
              </w:rPr>
              <w:t>-76.5% ± 5.9%</w:t>
            </w:r>
          </w:p>
        </w:tc>
        <w:tc>
          <w:tcPr>
            <w:tcW w:type="dxa" w:w="1368"/>
          </w:tcPr>
          <w:p>
            <w:pPr>
              <w:spacing w:after="20" w:line="252" w:lineRule="auto"/>
              <w:jc w:val="center"/>
            </w:pPr>
            <w:r/>
            <w:r>
              <w:rPr>
                <w:rFonts w:ascii="Times New Roman" w:hAnsi="Times New Roman"/>
                <w:sz w:val="15"/>
              </w:rPr>
              <w:t>0%</w:t>
            </w:r>
          </w:p>
        </w:tc>
      </w:tr>
      <w:tr>
        <w:tc>
          <w:tcPr>
            <w:tcW w:type="dxa" w:w="1656"/>
          </w:tcPr>
          <w:p>
            <w:pPr>
              <w:spacing w:after="20" w:line="252" w:lineRule="auto"/>
              <w:jc w:val="left"/>
            </w:pPr>
            <w:r/>
          </w:p>
        </w:tc>
        <w:tc>
          <w:tcPr>
            <w:tcW w:type="dxa" w:w="1944"/>
          </w:tcPr>
          <w:p>
            <w:pPr>
              <w:spacing w:after="20" w:line="252" w:lineRule="auto"/>
              <w:jc w:val="left"/>
            </w:pPr>
            <w:r/>
            <w:r>
              <w:rPr>
                <w:rFonts w:ascii="Times New Roman" w:hAnsi="Times New Roman"/>
                <w:sz w:val="15"/>
              </w:rPr>
              <w:t>Adaptive (no regime)</w:t>
            </w:r>
          </w:p>
        </w:tc>
        <w:tc>
          <w:tcPr>
            <w:tcW w:type="dxa" w:w="1440"/>
          </w:tcPr>
          <w:p>
            <w:pPr>
              <w:spacing w:after="20" w:line="252" w:lineRule="auto"/>
              <w:jc w:val="center"/>
            </w:pPr>
            <w:r/>
            <w:r>
              <w:rPr>
                <w:rFonts w:ascii="Times New Roman" w:hAnsi="Times New Roman"/>
                <w:sz w:val="15"/>
              </w:rPr>
              <w:t>-0.45 ± 0.06</w:t>
            </w:r>
          </w:p>
        </w:tc>
        <w:tc>
          <w:tcPr>
            <w:tcW w:type="dxa" w:w="1656"/>
          </w:tcPr>
          <w:p>
            <w:pPr>
              <w:spacing w:after="20" w:line="252" w:lineRule="auto"/>
              <w:jc w:val="center"/>
            </w:pPr>
            <w:r/>
            <w:r>
              <w:rPr>
                <w:rFonts w:ascii="Times New Roman" w:hAnsi="Times New Roman"/>
                <w:sz w:val="15"/>
              </w:rPr>
              <w:t>41.4% ± 2.8%</w:t>
            </w:r>
          </w:p>
        </w:tc>
        <w:tc>
          <w:tcPr>
            <w:tcW w:type="dxa" w:w="1656"/>
          </w:tcPr>
          <w:p>
            <w:pPr>
              <w:spacing w:after="20" w:line="252" w:lineRule="auto"/>
              <w:jc w:val="center"/>
            </w:pPr>
            <w:r/>
            <w:r>
              <w:rPr>
                <w:rFonts w:ascii="Times New Roman" w:hAnsi="Times New Roman"/>
                <w:sz w:val="15"/>
              </w:rPr>
              <w:t>-77.5% ± 4.8%</w:t>
            </w:r>
          </w:p>
        </w:tc>
        <w:tc>
          <w:tcPr>
            <w:tcW w:type="dxa" w:w="1368"/>
          </w:tcPr>
          <w:p>
            <w:pPr>
              <w:spacing w:after="20" w:line="252" w:lineRule="auto"/>
              <w:jc w:val="center"/>
            </w:pPr>
            <w:r/>
            <w:r>
              <w:rPr>
                <w:rFonts w:ascii="Times New Roman" w:hAnsi="Times New Roman"/>
                <w:sz w:val="15"/>
              </w:rPr>
              <w:t>0%</w:t>
            </w:r>
          </w:p>
        </w:tc>
      </w:tr>
      <w:tr>
        <w:tc>
          <w:tcPr>
            <w:tcW w:type="dxa" w:w="1656"/>
          </w:tcPr>
          <w:p>
            <w:pPr>
              <w:spacing w:after="20" w:line="252" w:lineRule="auto"/>
              <w:jc w:val="left"/>
            </w:pPr>
            <w:r/>
          </w:p>
        </w:tc>
        <w:tc>
          <w:tcPr>
            <w:tcW w:type="dxa" w:w="1944"/>
          </w:tcPr>
          <w:p>
            <w:pPr>
              <w:spacing w:after="20" w:line="252" w:lineRule="auto"/>
              <w:jc w:val="left"/>
            </w:pPr>
            <w:r/>
            <w:r>
              <w:rPr>
                <w:rFonts w:ascii="Times New Roman" w:hAnsi="Times New Roman"/>
                <w:sz w:val="15"/>
              </w:rPr>
              <w:t>Adaptive (untrained)</w:t>
            </w:r>
          </w:p>
        </w:tc>
        <w:tc>
          <w:tcPr>
            <w:tcW w:type="dxa" w:w="1440"/>
          </w:tcPr>
          <w:p>
            <w:pPr>
              <w:spacing w:after="20" w:line="252" w:lineRule="auto"/>
              <w:jc w:val="center"/>
            </w:pPr>
            <w:r/>
            <w:r>
              <w:rPr>
                <w:rFonts w:ascii="Times New Roman" w:hAnsi="Times New Roman"/>
                <w:sz w:val="15"/>
              </w:rPr>
              <w:t>-0.37 ± 0.05</w:t>
            </w:r>
          </w:p>
        </w:tc>
        <w:tc>
          <w:tcPr>
            <w:tcW w:type="dxa" w:w="1656"/>
          </w:tcPr>
          <w:p>
            <w:pPr>
              <w:spacing w:after="20" w:line="252" w:lineRule="auto"/>
              <w:jc w:val="center"/>
            </w:pPr>
            <w:r/>
            <w:r>
              <w:rPr>
                <w:rFonts w:ascii="Times New Roman" w:hAnsi="Times New Roman"/>
                <w:sz w:val="15"/>
              </w:rPr>
              <w:t>27.5% ± 3.4%</w:t>
            </w:r>
          </w:p>
        </w:tc>
        <w:tc>
          <w:tcPr>
            <w:tcW w:type="dxa" w:w="1656"/>
          </w:tcPr>
          <w:p>
            <w:pPr>
              <w:spacing w:after="20" w:line="252" w:lineRule="auto"/>
              <w:jc w:val="center"/>
            </w:pPr>
            <w:r/>
            <w:r>
              <w:rPr>
                <w:rFonts w:ascii="Times New Roman" w:hAnsi="Times New Roman"/>
                <w:sz w:val="15"/>
              </w:rPr>
              <w:t>-59.8% ± 6.3%</w:t>
            </w:r>
          </w:p>
        </w:tc>
        <w:tc>
          <w:tcPr>
            <w:tcW w:type="dxa" w:w="1368"/>
          </w:tcPr>
          <w:p>
            <w:pPr>
              <w:spacing w:after="20" w:line="252" w:lineRule="auto"/>
              <w:jc w:val="center"/>
            </w:pPr>
            <w:r/>
            <w:r>
              <w:rPr>
                <w:rFonts w:ascii="Times New Roman" w:hAnsi="Times New Roman"/>
                <w:sz w:val="15"/>
              </w:rPr>
              <w:t>0%</w:t>
            </w:r>
          </w:p>
        </w:tc>
      </w:tr>
      <w:tr>
        <w:tc>
          <w:tcPr>
            <w:tcW w:type="dxa" w:w="1656"/>
            <w:shd w:val="clear" w:color="auto" w:fill="EEF1F6"/>
          </w:tcPr>
          <w:p>
            <w:pPr>
              <w:spacing w:after="20" w:line="252" w:lineRule="auto"/>
              <w:jc w:val="left"/>
            </w:pPr>
            <w:r/>
            <w:r>
              <w:rPr>
                <w:rFonts w:ascii="Times New Roman" w:hAnsi="Times New Roman"/>
                <w:sz w:val="15"/>
              </w:rPr>
              <w:t>2008 GFC</w:t>
            </w:r>
          </w:p>
        </w:tc>
        <w:tc>
          <w:tcPr>
            <w:tcW w:type="dxa" w:w="1944"/>
            <w:shd w:val="clear" w:color="auto" w:fill="EEF1F6"/>
          </w:tcPr>
          <w:p>
            <w:pPr>
              <w:spacing w:after="20" w:line="252" w:lineRule="auto"/>
              <w:jc w:val="left"/>
            </w:pPr>
            <w:r/>
            <w:r>
              <w:rPr>
                <w:rFonts w:ascii="Times New Roman" w:hAnsi="Times New Roman"/>
                <w:sz w:val="15"/>
              </w:rPr>
              <w:t>Equal-Weight</w:t>
            </w:r>
          </w:p>
        </w:tc>
        <w:tc>
          <w:tcPr>
            <w:tcW w:type="dxa" w:w="1440"/>
            <w:shd w:val="clear" w:color="auto" w:fill="EEF1F6"/>
          </w:tcPr>
          <w:p>
            <w:pPr>
              <w:spacing w:after="20" w:line="252" w:lineRule="auto"/>
              <w:jc w:val="center"/>
            </w:pPr>
            <w:r/>
            <w:r>
              <w:rPr>
                <w:rFonts w:ascii="Times New Roman" w:hAnsi="Times New Roman"/>
                <w:sz w:val="15"/>
              </w:rPr>
              <w:t>0.47</w:t>
            </w:r>
          </w:p>
        </w:tc>
        <w:tc>
          <w:tcPr>
            <w:tcW w:type="dxa" w:w="1656"/>
            <w:shd w:val="clear" w:color="auto" w:fill="EEF1F6"/>
          </w:tcPr>
          <w:p>
            <w:pPr>
              <w:spacing w:after="20" w:line="252" w:lineRule="auto"/>
              <w:jc w:val="center"/>
            </w:pPr>
            <w:r/>
            <w:r>
              <w:rPr>
                <w:rFonts w:ascii="Times New Roman" w:hAnsi="Times New Roman"/>
                <w:sz w:val="15"/>
              </w:rPr>
              <w:t>14.7%</w:t>
            </w:r>
          </w:p>
        </w:tc>
        <w:tc>
          <w:tcPr>
            <w:tcW w:type="dxa" w:w="1656"/>
            <w:shd w:val="clear" w:color="auto" w:fill="EEF1F6"/>
          </w:tcPr>
          <w:p>
            <w:pPr>
              <w:spacing w:after="20" w:line="252" w:lineRule="auto"/>
              <w:jc w:val="center"/>
            </w:pPr>
            <w:r/>
            <w:r>
              <w:rPr>
                <w:rFonts w:ascii="Times New Roman" w:hAnsi="Times New Roman"/>
                <w:sz w:val="15"/>
              </w:rPr>
              <w:t>-26.6%</w:t>
            </w:r>
          </w:p>
        </w:tc>
        <w:tc>
          <w:tcPr>
            <w:tcW w:type="dxa" w:w="1368"/>
            <w:shd w:val="clear" w:color="auto" w:fill="EEF1F6"/>
          </w:tcPr>
          <w:p>
            <w:pPr>
              <w:spacing w:after="20" w:line="252" w:lineRule="auto"/>
              <w:jc w:val="center"/>
            </w:pPr>
            <w:r/>
            <w:r>
              <w:rPr>
                <w:rFonts w:ascii="Times New Roman" w:hAnsi="Times New Roman"/>
                <w:sz w:val="15"/>
              </w:rPr>
              <w:t>n/a</w:t>
            </w:r>
          </w:p>
        </w:tc>
      </w:tr>
      <w:tr>
        <w:tc>
          <w:tcPr>
            <w:tcW w:type="dxa" w:w="1656"/>
          </w:tcPr>
          <w:p>
            <w:pPr>
              <w:spacing w:after="20" w:line="252" w:lineRule="auto"/>
              <w:jc w:val="left"/>
            </w:pPr>
            <w:r/>
          </w:p>
        </w:tc>
        <w:tc>
          <w:tcPr>
            <w:tcW w:type="dxa" w:w="1944"/>
          </w:tcPr>
          <w:p>
            <w:pPr>
              <w:spacing w:after="20" w:line="252" w:lineRule="auto"/>
              <w:jc w:val="left"/>
            </w:pPr>
            <w:r/>
            <w:r>
              <w:rPr>
                <w:rFonts w:ascii="Times New Roman" w:hAnsi="Times New Roman"/>
                <w:sz w:val="15"/>
              </w:rPr>
              <w:t>Mean-Variance</w:t>
            </w:r>
          </w:p>
        </w:tc>
        <w:tc>
          <w:tcPr>
            <w:tcW w:type="dxa" w:w="1440"/>
          </w:tcPr>
          <w:p>
            <w:pPr>
              <w:spacing w:after="20" w:line="252" w:lineRule="auto"/>
              <w:jc w:val="center"/>
            </w:pPr>
            <w:r/>
            <w:r>
              <w:rPr>
                <w:rFonts w:ascii="Times New Roman" w:hAnsi="Times New Roman"/>
                <w:sz w:val="15"/>
              </w:rPr>
              <w:t>0.66</w:t>
            </w:r>
          </w:p>
        </w:tc>
        <w:tc>
          <w:tcPr>
            <w:tcW w:type="dxa" w:w="1656"/>
          </w:tcPr>
          <w:p>
            <w:pPr>
              <w:spacing w:after="20" w:line="252" w:lineRule="auto"/>
              <w:jc w:val="center"/>
            </w:pPr>
            <w:r/>
            <w:r>
              <w:rPr>
                <w:rFonts w:ascii="Times New Roman" w:hAnsi="Times New Roman"/>
                <w:sz w:val="15"/>
              </w:rPr>
              <w:t>16.0%</w:t>
            </w:r>
          </w:p>
        </w:tc>
        <w:tc>
          <w:tcPr>
            <w:tcW w:type="dxa" w:w="1656"/>
          </w:tcPr>
          <w:p>
            <w:pPr>
              <w:spacing w:after="20" w:line="252" w:lineRule="auto"/>
              <w:jc w:val="center"/>
            </w:pPr>
            <w:r/>
            <w:r>
              <w:rPr>
                <w:rFonts w:ascii="Times New Roman" w:hAnsi="Times New Roman"/>
                <w:sz w:val="15"/>
              </w:rPr>
              <w:t>-19.1%</w:t>
            </w:r>
          </w:p>
        </w:tc>
        <w:tc>
          <w:tcPr>
            <w:tcW w:type="dxa" w:w="1368"/>
          </w:tcPr>
          <w:p>
            <w:pPr>
              <w:spacing w:after="20" w:line="252" w:lineRule="auto"/>
              <w:jc w:val="center"/>
            </w:pPr>
            <w:r/>
            <w:r>
              <w:rPr>
                <w:rFonts w:ascii="Times New Roman" w:hAnsi="Times New Roman"/>
                <w:sz w:val="15"/>
              </w:rPr>
              <w:t>n/a</w:t>
            </w:r>
          </w:p>
        </w:tc>
      </w:tr>
      <w:tr>
        <w:tc>
          <w:tcPr>
            <w:tcW w:type="dxa" w:w="1656"/>
          </w:tcPr>
          <w:p>
            <w:pPr>
              <w:spacing w:after="20" w:line="252" w:lineRule="auto"/>
              <w:jc w:val="left"/>
            </w:pPr>
            <w:r/>
          </w:p>
        </w:tc>
        <w:tc>
          <w:tcPr>
            <w:tcW w:type="dxa" w:w="1944"/>
          </w:tcPr>
          <w:p>
            <w:pPr>
              <w:spacing w:after="20" w:line="252" w:lineRule="auto"/>
              <w:jc w:val="left"/>
            </w:pPr>
            <w:r/>
            <w:r>
              <w:rPr>
                <w:rFonts w:ascii="Times New Roman" w:hAnsi="Times New Roman"/>
                <w:sz w:val="15"/>
              </w:rPr>
              <w:t>Adaptive (full)</w:t>
            </w:r>
          </w:p>
        </w:tc>
        <w:tc>
          <w:tcPr>
            <w:tcW w:type="dxa" w:w="1440"/>
          </w:tcPr>
          <w:p>
            <w:pPr>
              <w:spacing w:after="20" w:line="252" w:lineRule="auto"/>
              <w:jc w:val="center"/>
            </w:pPr>
            <w:r/>
            <w:r>
              <w:rPr>
                <w:rFonts w:ascii="Times New Roman" w:hAnsi="Times New Roman"/>
                <w:sz w:val="15"/>
              </w:rPr>
              <w:t>0.36 ± 0.23</w:t>
            </w:r>
          </w:p>
        </w:tc>
        <w:tc>
          <w:tcPr>
            <w:tcW w:type="dxa" w:w="1656"/>
          </w:tcPr>
          <w:p>
            <w:pPr>
              <w:spacing w:after="20" w:line="252" w:lineRule="auto"/>
              <w:jc w:val="center"/>
            </w:pPr>
            <w:r/>
            <w:r>
              <w:rPr>
                <w:rFonts w:ascii="Times New Roman" w:hAnsi="Times New Roman"/>
                <w:sz w:val="15"/>
              </w:rPr>
              <w:t>13.9% ± 3.5%</w:t>
            </w:r>
          </w:p>
        </w:tc>
        <w:tc>
          <w:tcPr>
            <w:tcW w:type="dxa" w:w="1656"/>
          </w:tcPr>
          <w:p>
            <w:pPr>
              <w:spacing w:after="20" w:line="252" w:lineRule="auto"/>
              <w:jc w:val="center"/>
            </w:pPr>
            <w:r/>
            <w:r>
              <w:rPr>
                <w:rFonts w:ascii="Times New Roman" w:hAnsi="Times New Roman"/>
                <w:sz w:val="15"/>
              </w:rPr>
              <w:t>-25.1% ± 8.6%</w:t>
            </w:r>
          </w:p>
        </w:tc>
        <w:tc>
          <w:tcPr>
            <w:tcW w:type="dxa" w:w="1368"/>
          </w:tcPr>
          <w:p>
            <w:pPr>
              <w:spacing w:after="20" w:line="252" w:lineRule="auto"/>
              <w:jc w:val="center"/>
            </w:pPr>
            <w:r/>
            <w:r>
              <w:rPr>
                <w:rFonts w:ascii="Times New Roman" w:hAnsi="Times New Roman"/>
                <w:sz w:val="15"/>
              </w:rPr>
              <w:t>67%</w:t>
            </w:r>
          </w:p>
        </w:tc>
      </w:tr>
      <w:tr>
        <w:tc>
          <w:tcPr>
            <w:tcW w:type="dxa" w:w="1656"/>
          </w:tcPr>
          <w:p>
            <w:pPr>
              <w:spacing w:after="20" w:line="252" w:lineRule="auto"/>
              <w:jc w:val="left"/>
            </w:pPr>
            <w:r/>
          </w:p>
        </w:tc>
        <w:tc>
          <w:tcPr>
            <w:tcW w:type="dxa" w:w="1944"/>
          </w:tcPr>
          <w:p>
            <w:pPr>
              <w:spacing w:after="20" w:line="252" w:lineRule="auto"/>
              <w:jc w:val="left"/>
            </w:pPr>
            <w:r/>
            <w:r>
              <w:rPr>
                <w:rFonts w:ascii="Times New Roman" w:hAnsi="Times New Roman"/>
                <w:sz w:val="15"/>
              </w:rPr>
              <w:t>Adaptive (no regime)</w:t>
            </w:r>
          </w:p>
        </w:tc>
        <w:tc>
          <w:tcPr>
            <w:tcW w:type="dxa" w:w="1440"/>
          </w:tcPr>
          <w:p>
            <w:pPr>
              <w:spacing w:after="20" w:line="252" w:lineRule="auto"/>
              <w:jc w:val="center"/>
            </w:pPr>
            <w:r/>
            <w:r>
              <w:rPr>
                <w:rFonts w:ascii="Times New Roman" w:hAnsi="Times New Roman"/>
                <w:sz w:val="15"/>
              </w:rPr>
              <w:t>0.30 ± 0.19</w:t>
            </w:r>
          </w:p>
        </w:tc>
        <w:tc>
          <w:tcPr>
            <w:tcW w:type="dxa" w:w="1656"/>
          </w:tcPr>
          <w:p>
            <w:pPr>
              <w:spacing w:after="20" w:line="252" w:lineRule="auto"/>
              <w:jc w:val="center"/>
            </w:pPr>
            <w:r/>
            <w:r>
              <w:rPr>
                <w:rFonts w:ascii="Times New Roman" w:hAnsi="Times New Roman"/>
                <w:sz w:val="15"/>
              </w:rPr>
              <w:t>15.9% ± 3.7%</w:t>
            </w:r>
          </w:p>
        </w:tc>
        <w:tc>
          <w:tcPr>
            <w:tcW w:type="dxa" w:w="1656"/>
          </w:tcPr>
          <w:p>
            <w:pPr>
              <w:spacing w:after="20" w:line="252" w:lineRule="auto"/>
              <w:jc w:val="center"/>
            </w:pPr>
            <w:r/>
            <w:r>
              <w:rPr>
                <w:rFonts w:ascii="Times New Roman" w:hAnsi="Times New Roman"/>
                <w:sz w:val="15"/>
              </w:rPr>
              <w:t>-29.7% ± 8.7%</w:t>
            </w:r>
          </w:p>
        </w:tc>
        <w:tc>
          <w:tcPr>
            <w:tcW w:type="dxa" w:w="1368"/>
          </w:tcPr>
          <w:p>
            <w:pPr>
              <w:spacing w:after="20" w:line="252" w:lineRule="auto"/>
              <w:jc w:val="center"/>
            </w:pPr>
            <w:r/>
            <w:r>
              <w:rPr>
                <w:rFonts w:ascii="Times New Roman" w:hAnsi="Times New Roman"/>
                <w:sz w:val="15"/>
              </w:rPr>
              <w:t>33%</w:t>
            </w:r>
          </w:p>
        </w:tc>
      </w:tr>
      <w:tr>
        <w:tc>
          <w:tcPr>
            <w:tcW w:type="dxa" w:w="1656"/>
          </w:tcPr>
          <w:p>
            <w:pPr>
              <w:spacing w:after="20" w:line="252" w:lineRule="auto"/>
              <w:jc w:val="left"/>
            </w:pPr>
            <w:r/>
          </w:p>
        </w:tc>
        <w:tc>
          <w:tcPr>
            <w:tcW w:type="dxa" w:w="1944"/>
          </w:tcPr>
          <w:p>
            <w:pPr>
              <w:spacing w:after="20" w:line="252" w:lineRule="auto"/>
              <w:jc w:val="left"/>
            </w:pPr>
            <w:r/>
            <w:r>
              <w:rPr>
                <w:rFonts w:ascii="Times New Roman" w:hAnsi="Times New Roman"/>
                <w:sz w:val="15"/>
              </w:rPr>
              <w:t>Adaptive (untrained)</w:t>
            </w:r>
          </w:p>
        </w:tc>
        <w:tc>
          <w:tcPr>
            <w:tcW w:type="dxa" w:w="1440"/>
          </w:tcPr>
          <w:p>
            <w:pPr>
              <w:spacing w:after="20" w:line="252" w:lineRule="auto"/>
              <w:jc w:val="center"/>
            </w:pPr>
            <w:r/>
            <w:r>
              <w:rPr>
                <w:rFonts w:ascii="Times New Roman" w:hAnsi="Times New Roman"/>
                <w:sz w:val="15"/>
              </w:rPr>
              <w:t>0.59 ± 0.16</w:t>
            </w:r>
          </w:p>
        </w:tc>
        <w:tc>
          <w:tcPr>
            <w:tcW w:type="dxa" w:w="1656"/>
          </w:tcPr>
          <w:p>
            <w:pPr>
              <w:spacing w:after="20" w:line="252" w:lineRule="auto"/>
              <w:jc w:val="center"/>
            </w:pPr>
            <w:r/>
            <w:r>
              <w:rPr>
                <w:rFonts w:ascii="Times New Roman" w:hAnsi="Times New Roman"/>
                <w:sz w:val="15"/>
              </w:rPr>
              <w:t>14.1% ± 0.9%</w:t>
            </w:r>
          </w:p>
        </w:tc>
        <w:tc>
          <w:tcPr>
            <w:tcW w:type="dxa" w:w="1656"/>
          </w:tcPr>
          <w:p>
            <w:pPr>
              <w:spacing w:after="20" w:line="252" w:lineRule="auto"/>
              <w:jc w:val="center"/>
            </w:pPr>
            <w:r/>
            <w:r>
              <w:rPr>
                <w:rFonts w:ascii="Times New Roman" w:hAnsi="Times New Roman"/>
                <w:sz w:val="15"/>
              </w:rPr>
              <w:t>-24.1% ± 0.4%</w:t>
            </w:r>
          </w:p>
        </w:tc>
        <w:tc>
          <w:tcPr>
            <w:tcW w:type="dxa" w:w="1368"/>
          </w:tcPr>
          <w:p>
            <w:pPr>
              <w:spacing w:after="20" w:line="252" w:lineRule="auto"/>
              <w:jc w:val="center"/>
            </w:pPr>
            <w:r/>
            <w:r>
              <w:rPr>
                <w:rFonts w:ascii="Times New Roman" w:hAnsi="Times New Roman"/>
                <w:sz w:val="15"/>
              </w:rPr>
              <w:t>50%</w:t>
            </w:r>
          </w:p>
        </w:tc>
      </w:tr>
      <w:tr>
        <w:tc>
          <w:tcPr>
            <w:tcW w:type="dxa" w:w="1656"/>
            <w:shd w:val="clear" w:color="auto" w:fill="EEF1F6"/>
          </w:tcPr>
          <w:p>
            <w:pPr>
              <w:spacing w:after="20" w:line="252" w:lineRule="auto"/>
              <w:jc w:val="left"/>
            </w:pPr>
            <w:r/>
            <w:r>
              <w:rPr>
                <w:rFonts w:ascii="Times New Roman" w:hAnsi="Times New Roman"/>
                <w:sz w:val="15"/>
              </w:rPr>
              <w:t>COVID-19</w:t>
            </w:r>
          </w:p>
        </w:tc>
        <w:tc>
          <w:tcPr>
            <w:tcW w:type="dxa" w:w="1944"/>
            <w:shd w:val="clear" w:color="auto" w:fill="EEF1F6"/>
          </w:tcPr>
          <w:p>
            <w:pPr>
              <w:spacing w:after="20" w:line="252" w:lineRule="auto"/>
              <w:jc w:val="left"/>
            </w:pPr>
            <w:r/>
            <w:r>
              <w:rPr>
                <w:rFonts w:ascii="Times New Roman" w:hAnsi="Times New Roman"/>
                <w:sz w:val="15"/>
              </w:rPr>
              <w:t>Equal-Weight</w:t>
            </w:r>
          </w:p>
        </w:tc>
        <w:tc>
          <w:tcPr>
            <w:tcW w:type="dxa" w:w="1440"/>
            <w:shd w:val="clear" w:color="auto" w:fill="EEF1F6"/>
          </w:tcPr>
          <w:p>
            <w:pPr>
              <w:spacing w:after="20" w:line="252" w:lineRule="auto"/>
              <w:jc w:val="center"/>
            </w:pPr>
            <w:r/>
            <w:r>
              <w:rPr>
                <w:rFonts w:ascii="Times New Roman" w:hAnsi="Times New Roman"/>
                <w:sz w:val="15"/>
              </w:rPr>
              <w:t>1.03</w:t>
            </w:r>
          </w:p>
        </w:tc>
        <w:tc>
          <w:tcPr>
            <w:tcW w:type="dxa" w:w="1656"/>
            <w:shd w:val="clear" w:color="auto" w:fill="EEF1F6"/>
          </w:tcPr>
          <w:p>
            <w:pPr>
              <w:spacing w:after="20" w:line="252" w:lineRule="auto"/>
              <w:jc w:val="center"/>
            </w:pPr>
            <w:r/>
            <w:r>
              <w:rPr>
                <w:rFonts w:ascii="Times New Roman" w:hAnsi="Times New Roman"/>
                <w:sz w:val="15"/>
              </w:rPr>
              <w:t>14.4%</w:t>
            </w:r>
          </w:p>
        </w:tc>
        <w:tc>
          <w:tcPr>
            <w:tcW w:type="dxa" w:w="1656"/>
            <w:shd w:val="clear" w:color="auto" w:fill="EEF1F6"/>
          </w:tcPr>
          <w:p>
            <w:pPr>
              <w:spacing w:after="20" w:line="252" w:lineRule="auto"/>
              <w:jc w:val="center"/>
            </w:pPr>
            <w:r/>
            <w:r>
              <w:rPr>
                <w:rFonts w:ascii="Times New Roman" w:hAnsi="Times New Roman"/>
                <w:sz w:val="15"/>
              </w:rPr>
              <w:t>-15.4%</w:t>
            </w:r>
          </w:p>
        </w:tc>
        <w:tc>
          <w:tcPr>
            <w:tcW w:type="dxa" w:w="1368"/>
            <w:shd w:val="clear" w:color="auto" w:fill="EEF1F6"/>
          </w:tcPr>
          <w:p>
            <w:pPr>
              <w:spacing w:after="20" w:line="252" w:lineRule="auto"/>
              <w:jc w:val="center"/>
            </w:pPr>
            <w:r/>
            <w:r>
              <w:rPr>
                <w:rFonts w:ascii="Times New Roman" w:hAnsi="Times New Roman"/>
                <w:sz w:val="15"/>
              </w:rPr>
              <w:t>n/a</w:t>
            </w:r>
          </w:p>
        </w:tc>
      </w:tr>
      <w:tr>
        <w:tc>
          <w:tcPr>
            <w:tcW w:type="dxa" w:w="1656"/>
          </w:tcPr>
          <w:p>
            <w:pPr>
              <w:spacing w:after="20" w:line="252" w:lineRule="auto"/>
              <w:jc w:val="left"/>
            </w:pPr>
            <w:r/>
          </w:p>
        </w:tc>
        <w:tc>
          <w:tcPr>
            <w:tcW w:type="dxa" w:w="1944"/>
          </w:tcPr>
          <w:p>
            <w:pPr>
              <w:spacing w:after="20" w:line="252" w:lineRule="auto"/>
              <w:jc w:val="left"/>
            </w:pPr>
            <w:r/>
            <w:r>
              <w:rPr>
                <w:rFonts w:ascii="Times New Roman" w:hAnsi="Times New Roman"/>
                <w:sz w:val="15"/>
              </w:rPr>
              <w:t>Mean-Variance</w:t>
            </w:r>
          </w:p>
        </w:tc>
        <w:tc>
          <w:tcPr>
            <w:tcW w:type="dxa" w:w="1440"/>
          </w:tcPr>
          <w:p>
            <w:pPr>
              <w:spacing w:after="20" w:line="252" w:lineRule="auto"/>
              <w:jc w:val="center"/>
            </w:pPr>
            <w:r/>
            <w:r>
              <w:rPr>
                <w:rFonts w:ascii="Times New Roman" w:hAnsi="Times New Roman"/>
                <w:sz w:val="15"/>
              </w:rPr>
              <w:t>1.15</w:t>
            </w:r>
          </w:p>
        </w:tc>
        <w:tc>
          <w:tcPr>
            <w:tcW w:type="dxa" w:w="1656"/>
          </w:tcPr>
          <w:p>
            <w:pPr>
              <w:spacing w:after="20" w:line="252" w:lineRule="auto"/>
              <w:jc w:val="center"/>
            </w:pPr>
            <w:r/>
            <w:r>
              <w:rPr>
                <w:rFonts w:ascii="Times New Roman" w:hAnsi="Times New Roman"/>
                <w:sz w:val="15"/>
              </w:rPr>
              <w:t>14.9%</w:t>
            </w:r>
          </w:p>
        </w:tc>
        <w:tc>
          <w:tcPr>
            <w:tcW w:type="dxa" w:w="1656"/>
          </w:tcPr>
          <w:p>
            <w:pPr>
              <w:spacing w:after="20" w:line="252" w:lineRule="auto"/>
              <w:jc w:val="center"/>
            </w:pPr>
            <w:r/>
            <w:r>
              <w:rPr>
                <w:rFonts w:ascii="Times New Roman" w:hAnsi="Times New Roman"/>
                <w:sz w:val="15"/>
              </w:rPr>
              <w:t>-12.4%</w:t>
            </w:r>
          </w:p>
        </w:tc>
        <w:tc>
          <w:tcPr>
            <w:tcW w:type="dxa" w:w="1368"/>
          </w:tcPr>
          <w:p>
            <w:pPr>
              <w:spacing w:after="20" w:line="252" w:lineRule="auto"/>
              <w:jc w:val="center"/>
            </w:pPr>
            <w:r/>
            <w:r>
              <w:rPr>
                <w:rFonts w:ascii="Times New Roman" w:hAnsi="Times New Roman"/>
                <w:sz w:val="15"/>
              </w:rPr>
              <w:t>n/a</w:t>
            </w:r>
          </w:p>
        </w:tc>
      </w:tr>
      <w:tr>
        <w:tc>
          <w:tcPr>
            <w:tcW w:type="dxa" w:w="1656"/>
          </w:tcPr>
          <w:p>
            <w:pPr>
              <w:spacing w:after="20" w:line="252" w:lineRule="auto"/>
              <w:jc w:val="left"/>
            </w:pPr>
            <w:r/>
          </w:p>
        </w:tc>
        <w:tc>
          <w:tcPr>
            <w:tcW w:type="dxa" w:w="1944"/>
          </w:tcPr>
          <w:p>
            <w:pPr>
              <w:spacing w:after="20" w:line="252" w:lineRule="auto"/>
              <w:jc w:val="left"/>
            </w:pPr>
            <w:r/>
            <w:r>
              <w:rPr>
                <w:rFonts w:ascii="Times New Roman" w:hAnsi="Times New Roman"/>
                <w:sz w:val="15"/>
              </w:rPr>
              <w:t>Adaptive (full)</w:t>
            </w:r>
          </w:p>
        </w:tc>
        <w:tc>
          <w:tcPr>
            <w:tcW w:type="dxa" w:w="1440"/>
          </w:tcPr>
          <w:p>
            <w:pPr>
              <w:spacing w:after="20" w:line="252" w:lineRule="auto"/>
              <w:jc w:val="center"/>
            </w:pPr>
            <w:r/>
            <w:r>
              <w:rPr>
                <w:rFonts w:ascii="Times New Roman" w:hAnsi="Times New Roman"/>
                <w:sz w:val="15"/>
              </w:rPr>
              <w:t>0.90 ± 0.12</w:t>
            </w:r>
          </w:p>
        </w:tc>
        <w:tc>
          <w:tcPr>
            <w:tcW w:type="dxa" w:w="1656"/>
          </w:tcPr>
          <w:p>
            <w:pPr>
              <w:spacing w:after="20" w:line="252" w:lineRule="auto"/>
              <w:jc w:val="center"/>
            </w:pPr>
            <w:r/>
            <w:r>
              <w:rPr>
                <w:rFonts w:ascii="Times New Roman" w:hAnsi="Times New Roman"/>
                <w:sz w:val="15"/>
              </w:rPr>
              <w:t>19.2% ± 3.5%</w:t>
            </w:r>
          </w:p>
        </w:tc>
        <w:tc>
          <w:tcPr>
            <w:tcW w:type="dxa" w:w="1656"/>
          </w:tcPr>
          <w:p>
            <w:pPr>
              <w:spacing w:after="20" w:line="252" w:lineRule="auto"/>
              <w:jc w:val="center"/>
            </w:pPr>
            <w:r/>
            <w:r>
              <w:rPr>
                <w:rFonts w:ascii="Times New Roman" w:hAnsi="Times New Roman"/>
                <w:sz w:val="15"/>
              </w:rPr>
              <w:t>-21.5% ± 7.1%</w:t>
            </w:r>
          </w:p>
        </w:tc>
        <w:tc>
          <w:tcPr>
            <w:tcW w:type="dxa" w:w="1368"/>
          </w:tcPr>
          <w:p>
            <w:pPr>
              <w:spacing w:after="20" w:line="252" w:lineRule="auto"/>
              <w:jc w:val="center"/>
            </w:pPr>
            <w:r/>
            <w:r>
              <w:rPr>
                <w:rFonts w:ascii="Times New Roman" w:hAnsi="Times New Roman"/>
                <w:sz w:val="15"/>
              </w:rPr>
              <w:t>0%</w:t>
            </w:r>
          </w:p>
        </w:tc>
      </w:tr>
      <w:tr>
        <w:tc>
          <w:tcPr>
            <w:tcW w:type="dxa" w:w="1656"/>
          </w:tcPr>
          <w:p>
            <w:pPr>
              <w:spacing w:after="20" w:line="252" w:lineRule="auto"/>
              <w:jc w:val="left"/>
            </w:pPr>
            <w:r/>
          </w:p>
        </w:tc>
        <w:tc>
          <w:tcPr>
            <w:tcW w:type="dxa" w:w="1944"/>
          </w:tcPr>
          <w:p>
            <w:pPr>
              <w:spacing w:after="20" w:line="252" w:lineRule="auto"/>
              <w:jc w:val="left"/>
            </w:pPr>
            <w:r/>
            <w:r>
              <w:rPr>
                <w:rFonts w:ascii="Times New Roman" w:hAnsi="Times New Roman"/>
                <w:sz w:val="15"/>
              </w:rPr>
              <w:t>Adaptive (no regime)</w:t>
            </w:r>
          </w:p>
        </w:tc>
        <w:tc>
          <w:tcPr>
            <w:tcW w:type="dxa" w:w="1440"/>
          </w:tcPr>
          <w:p>
            <w:pPr>
              <w:spacing w:after="20" w:line="252" w:lineRule="auto"/>
              <w:jc w:val="center"/>
            </w:pPr>
            <w:r/>
            <w:r>
              <w:rPr>
                <w:rFonts w:ascii="Times New Roman" w:hAnsi="Times New Roman"/>
                <w:sz w:val="15"/>
              </w:rPr>
              <w:t>0.97 ± 0.13</w:t>
            </w:r>
          </w:p>
        </w:tc>
        <w:tc>
          <w:tcPr>
            <w:tcW w:type="dxa" w:w="1656"/>
          </w:tcPr>
          <w:p>
            <w:pPr>
              <w:spacing w:after="20" w:line="252" w:lineRule="auto"/>
              <w:jc w:val="center"/>
            </w:pPr>
            <w:r/>
            <w:r>
              <w:rPr>
                <w:rFonts w:ascii="Times New Roman" w:hAnsi="Times New Roman"/>
                <w:sz w:val="15"/>
              </w:rPr>
              <w:t>19.6% ± 2.5%</w:t>
            </w:r>
          </w:p>
        </w:tc>
        <w:tc>
          <w:tcPr>
            <w:tcW w:type="dxa" w:w="1656"/>
          </w:tcPr>
          <w:p>
            <w:pPr>
              <w:spacing w:after="20" w:line="252" w:lineRule="auto"/>
              <w:jc w:val="center"/>
            </w:pPr>
            <w:r/>
            <w:r>
              <w:rPr>
                <w:rFonts w:ascii="Times New Roman" w:hAnsi="Times New Roman"/>
                <w:sz w:val="15"/>
              </w:rPr>
              <w:t>-21.4% ± 5.1%</w:t>
            </w:r>
          </w:p>
        </w:tc>
        <w:tc>
          <w:tcPr>
            <w:tcW w:type="dxa" w:w="1368"/>
          </w:tcPr>
          <w:p>
            <w:pPr>
              <w:spacing w:after="20" w:line="252" w:lineRule="auto"/>
              <w:jc w:val="center"/>
            </w:pPr>
            <w:r/>
            <w:r>
              <w:rPr>
                <w:rFonts w:ascii="Times New Roman" w:hAnsi="Times New Roman"/>
                <w:sz w:val="15"/>
              </w:rPr>
              <w:t>0%</w:t>
            </w:r>
          </w:p>
        </w:tc>
      </w:tr>
      <w:tr>
        <w:tc>
          <w:tcPr>
            <w:tcW w:type="dxa" w:w="1656"/>
            <w:tcBorders>
              <w:bottom w:val="single" w:sz="10" w:color="000000"/>
            </w:tcBorders>
          </w:tcPr>
          <w:p>
            <w:pPr>
              <w:spacing w:after="20" w:line="252" w:lineRule="auto"/>
              <w:jc w:val="left"/>
            </w:pPr>
            <w:r/>
          </w:p>
        </w:tc>
        <w:tc>
          <w:tcPr>
            <w:tcW w:type="dxa" w:w="1944"/>
            <w:tcBorders>
              <w:bottom w:val="single" w:sz="10" w:color="000000"/>
            </w:tcBorders>
          </w:tcPr>
          <w:p>
            <w:pPr>
              <w:spacing w:after="20" w:line="252" w:lineRule="auto"/>
              <w:jc w:val="left"/>
            </w:pPr>
            <w:r/>
            <w:r>
              <w:rPr>
                <w:rFonts w:ascii="Times New Roman" w:hAnsi="Times New Roman"/>
                <w:sz w:val="15"/>
              </w:rPr>
              <w:t>Adaptive (untrained)</w:t>
            </w:r>
          </w:p>
        </w:tc>
        <w:tc>
          <w:tcPr>
            <w:tcW w:type="dxa" w:w="1440"/>
            <w:tcBorders>
              <w:bottom w:val="single" w:sz="10" w:color="000000"/>
            </w:tcBorders>
          </w:tcPr>
          <w:p>
            <w:pPr>
              <w:spacing w:after="20" w:line="252" w:lineRule="auto"/>
              <w:jc w:val="center"/>
            </w:pPr>
            <w:r/>
            <w:r>
              <w:rPr>
                <w:rFonts w:ascii="Times New Roman" w:hAnsi="Times New Roman"/>
                <w:sz w:val="15"/>
              </w:rPr>
              <w:t>1.02 ± 0.05</w:t>
            </w:r>
          </w:p>
        </w:tc>
        <w:tc>
          <w:tcPr>
            <w:tcW w:type="dxa" w:w="1656"/>
            <w:tcBorders>
              <w:bottom w:val="single" w:sz="10" w:color="000000"/>
            </w:tcBorders>
          </w:tcPr>
          <w:p>
            <w:pPr>
              <w:spacing w:after="20" w:line="252" w:lineRule="auto"/>
              <w:jc w:val="center"/>
            </w:pPr>
            <w:r/>
            <w:r>
              <w:rPr>
                <w:rFonts w:ascii="Times New Roman" w:hAnsi="Times New Roman"/>
                <w:sz w:val="15"/>
              </w:rPr>
              <w:t>14.1% ± 0.8%</w:t>
            </w:r>
          </w:p>
        </w:tc>
        <w:tc>
          <w:tcPr>
            <w:tcW w:type="dxa" w:w="1656"/>
            <w:tcBorders>
              <w:bottom w:val="single" w:sz="10" w:color="000000"/>
            </w:tcBorders>
          </w:tcPr>
          <w:p>
            <w:pPr>
              <w:spacing w:after="20" w:line="252" w:lineRule="auto"/>
              <w:jc w:val="center"/>
            </w:pPr>
            <w:r/>
            <w:r>
              <w:rPr>
                <w:rFonts w:ascii="Times New Roman" w:hAnsi="Times New Roman"/>
                <w:sz w:val="15"/>
              </w:rPr>
              <w:t>-14.0% ± 0.1%</w:t>
            </w:r>
          </w:p>
        </w:tc>
        <w:tc>
          <w:tcPr>
            <w:tcW w:type="dxa" w:w="1368"/>
            <w:tcBorders>
              <w:bottom w:val="single" w:sz="10" w:color="000000"/>
            </w:tcBorders>
          </w:tcPr>
          <w:p>
            <w:pPr>
              <w:spacing w:after="20" w:line="252" w:lineRule="auto"/>
              <w:jc w:val="center"/>
            </w:pPr>
            <w:r/>
            <w:r>
              <w:rPr>
                <w:rFonts w:ascii="Times New Roman" w:hAnsi="Times New Roman"/>
                <w:sz w:val="15"/>
              </w:rPr>
              <w:t>33%</w:t>
            </w:r>
          </w:p>
        </w:tc>
      </w:tr>
    </w:tbl>
    <w:p>
      <w:pPr>
        <w:spacing w:after="80"/>
      </w:pPr>
    </w:p>
    <w:p>
      <w:pPr>
        <w:keepNext/>
        <w:spacing w:after="60"/>
        <w:jc w:val="center"/>
      </w:pPr>
      <w:r>
        <w:drawing>
          <wp:inline xmlns:a="http://schemas.openxmlformats.org/drawingml/2006/main" xmlns:pic="http://schemas.openxmlformats.org/drawingml/2006/picture">
            <wp:extent cx="5669280" cy="2298357"/>
            <wp:docPr id="24" name="Picture 24"/>
            <wp:cNvGraphicFramePr>
              <a:graphicFrameLocks noChangeAspect="1"/>
            </wp:cNvGraphicFramePr>
            <a:graphic>
              <a:graphicData uri="http://schemas.openxmlformats.org/drawingml/2006/picture">
                <pic:pic>
                  <pic:nvPicPr>
                    <pic:cNvPr id="0" name="fig_seed_ablation.png"/>
                    <pic:cNvPicPr/>
                  </pic:nvPicPr>
                  <pic:blipFill>
                    <a:blip r:embed="rId33"/>
                    <a:stretch>
                      <a:fillRect/>
                    </a:stretch>
                  </pic:blipFill>
                  <pic:spPr>
                    <a:xfrm>
                      <a:off x="0" y="0"/>
                      <a:ext cx="5669280" cy="2298357"/>
                    </a:xfrm>
                    <a:prstGeom prst="rect"/>
                  </pic:spPr>
                </pic:pic>
              </a:graphicData>
            </a:graphic>
          </wp:inline>
        </w:drawing>
      </w:r>
    </w:p>
    <w:p>
      <w:pPr>
        <w:spacing w:after="200"/>
        <w:jc w:val="both"/>
      </w:pPr>
      <w:r>
        <w:rPr>
          <w:rFonts w:ascii="Times New Roman" w:hAnsi="Times New Roman"/>
          <w:b/>
          <w:sz w:val="19"/>
        </w:rPr>
        <w:t xml:space="preserve">Fig. 13. </w:t>
      </w:r>
      <w:r>
        <w:rPr>
          <w:rFonts w:ascii="Times New Roman" w:hAnsi="Times New Roman"/>
          <w:sz w:val="19"/>
        </w:rPr>
        <w:t>Out-of-sample Sharpe ratio of the adaptive policy across six seeds for the full, no-regime and untrained variants; dashed lines are the two baselines.</w:t>
      </w:r>
    </w:p>
    <w:p>
      <w:pPr>
        <w:keepNext w:val="0"/>
        <w:spacing w:after="120"/>
        <w:jc w:val="both"/>
      </w:pPr>
      <w:r>
        <w:rPr>
          <w:rFonts w:ascii="Times New Roman" w:hAnsi="Times New Roman"/>
          <w:b/>
        </w:rPr>
        <w:t>Matcher.</w:t>
      </w:r>
      <w:r>
        <w:rPr>
          <w:rFonts w:ascii="Times New Roman" w:hAnsi="Times New Roman"/>
        </w:rPr>
        <w:t xml:space="preserve"> Table 6 and Fig. 8 show that replacing the trained Transformer by an untrained encoder, by the raw shape, by PCA or by seven summary statistics changes balanced accuracy by at most 0.022 (Table 6); leave-one-event-out rates (Table 7) are likewise similar, with summary statistics highest for COVID-19 (96% vs 93% trained), the untrained encoder highest for dot-com (96% vs 90%) and the trained encoder above the raw features for dot-com and COVID-19. The honest reading is that the signal lives in the resampled shape itself, and the Transformer neither adds to nor removes it at this data scale.</w:t>
      </w:r>
    </w:p>
    <w:p>
      <w:pPr>
        <w:pStyle w:val="Heading1"/>
      </w:pPr>
      <w:r>
        <w:t>5. Limitations</w:t>
      </w:r>
    </w:p>
    <w:p>
      <w:pPr>
        <w:pStyle w:val="ListBullet"/>
        <w:spacing w:after="60"/>
        <w:jc w:val="both"/>
      </w:pPr>
      <w:r>
        <w:rPr>
          <w:rFonts w:ascii="Times New Roman" w:hAnsi="Times New Roman"/>
          <w:b/>
        </w:rPr>
        <w:t>Few events, strong dependence.</w:t>
      </w:r>
      <w:r>
        <w:rPr>
          <w:rFonts w:ascii="Times New Roman" w:hAnsi="Times New Roman"/>
        </w:rPr>
        <w:t xml:space="preserve"> Three crises and four calm periods yield 965 </w:t>
      </w:r>
      <w:r>
        <w:rPr>
          <w:rFonts w:ascii="Times New Roman" w:hAnsi="Times New Roman"/>
          <w:i/>
        </w:rPr>
        <w:t>overlapping</w:t>
      </w:r>
      <w:r>
        <w:rPr>
          <w:rFonts w:ascii="Times New Roman" w:hAnsi="Times New Roman"/>
        </w:rPr>
        <w:t xml:space="preserve"> windows with a heavily imbalanced normal class; blocked purging reduces but cannot remove dependence, and generalisation to other crises (1987, 1998, 2022) is untested. The three crises are defined by the authors’ calendar choices.</w:t>
      </w:r>
    </w:p>
    <w:p>
      <w:pPr>
        <w:pStyle w:val="ListBullet"/>
        <w:spacing w:after="60"/>
        <w:jc w:val="both"/>
      </w:pPr>
      <w:r>
        <w:rPr>
          <w:rFonts w:ascii="Times New Roman" w:hAnsi="Times New Roman"/>
          <w:b/>
        </w:rPr>
        <w:t>In-sample illustrations.</w:t>
      </w:r>
      <w:r>
        <w:rPr>
          <w:rFonts w:ascii="Times New Roman" w:hAnsi="Times New Roman"/>
        </w:rPr>
        <w:t xml:space="preserve"> The example queries in Table 5 overlap the corpus; only the blocked and leave-one-event-out results measure generalisation.</w:t>
      </w:r>
    </w:p>
    <w:p>
      <w:pPr>
        <w:pStyle w:val="ListBullet"/>
        <w:spacing w:after="60"/>
        <w:jc w:val="both"/>
      </w:pPr>
      <w:r>
        <w:rPr>
          <w:rFonts w:ascii="Times New Roman" w:hAnsi="Times New Roman"/>
          <w:b/>
        </w:rPr>
        <w:t>Allocator.</w:t>
      </w:r>
      <w:r>
        <w:rPr>
          <w:rFonts w:ascii="Times New Roman" w:hAnsi="Times New Roman"/>
        </w:rPr>
        <w:t xml:space="preserve"> Evolution strategies replace the PPO/DDPG agents of the reviewed literature, with a small state, 40 generations and short training segments; the negative result applies to this implementation, not to deep RL in general. Only long-only portfolios of three or four assets were studied, with a single cost assumption (5 bps charged on changes in </w:t>
      </w:r>
      <w:r>
        <w:rPr>
          <w:rFonts w:ascii="Times New Roman" w:hAnsi="Times New Roman"/>
          <w:i/>
        </w:rPr>
        <w:t>target</w:t>
      </w:r>
      <w:r>
        <w:rPr>
          <w:rFonts w:ascii="Times New Roman" w:hAnsi="Times New Roman"/>
        </w:rPr>
        <w:t xml:space="preserve"> weights, not on trades that undo price drift) and no liquidity model.</w:t>
      </w:r>
    </w:p>
    <w:p>
      <w:pPr>
        <w:pStyle w:val="ListBullet"/>
        <w:spacing w:after="60"/>
        <w:jc w:val="both"/>
      </w:pPr>
      <w:r>
        <w:rPr>
          <w:rFonts w:ascii="Times New Roman" w:hAnsi="Times New Roman"/>
          <w:b/>
        </w:rPr>
        <w:t>Experimental design.</w:t>
      </w:r>
      <w:r>
        <w:rPr>
          <w:rFonts w:ascii="Times New Roman" w:hAnsi="Times New Roman"/>
        </w:rPr>
        <w:t xml:space="preserve"> The as-deployed dot-com setting is invalid (30 training days) and is reported only to document the diagnosis; the corrected setting uses a mutual-fund proxy (VUSTX) for bonds. Test segments contain one crisis each.</w:t>
      </w:r>
    </w:p>
    <w:p>
      <w:pPr>
        <w:pStyle w:val="ListBullet"/>
        <w:spacing w:after="60"/>
        <w:jc w:val="both"/>
      </w:pPr>
      <w:r>
        <w:rPr>
          <w:rFonts w:ascii="Times New Roman" w:hAnsi="Times New Roman"/>
          <w:b/>
        </w:rPr>
        <w:t>Run-to-run sensitivity.</w:t>
      </w:r>
      <w:r>
        <w:rPr>
          <w:rFonts w:ascii="Times New Roman" w:hAnsi="Times New Roman"/>
        </w:rPr>
        <w:t xml:space="preserve"> Re-running the COVID-19 backtest after a Yahoo data refresh changed the adaptive Sharpe ratio from 0.85 to 1.05 with identical code and seeds, probably through the HMM’s sensitivity to tiny data revisions; headline numbers should be read with the seed ranges in Table 12.</w:t>
      </w:r>
    </w:p>
    <w:p>
      <w:pPr>
        <w:pStyle w:val="ListBullet"/>
        <w:spacing w:after="60"/>
        <w:jc w:val="both"/>
      </w:pPr>
      <w:r>
        <w:rPr>
          <w:rFonts w:ascii="Times New Roman" w:hAnsi="Times New Roman"/>
          <w:b/>
        </w:rPr>
        <w:t>Data.</w:t>
      </w:r>
      <w:r>
        <w:rPr>
          <w:rFonts w:ascii="Times New Roman" w:hAnsi="Times New Roman"/>
        </w:rPr>
        <w:t xml:space="preserve"> Yahoo Finance’s endpoint is unofficial and may rate-limit or change; adjusted prices are revised retroactively.</w:t>
      </w:r>
    </w:p>
    <w:p>
      <w:pPr>
        <w:pStyle w:val="ListBullet"/>
        <w:spacing w:after="60"/>
        <w:jc w:val="both"/>
      </w:pPr>
      <w:r>
        <w:rPr>
          <w:rFonts w:ascii="Times New Roman" w:hAnsi="Times New Roman"/>
          <w:b/>
        </w:rPr>
        <w:t>Scope.</w:t>
      </w:r>
      <w:r>
        <w:rPr>
          <w:rFonts w:ascii="Times New Roman" w:hAnsi="Times New Roman"/>
        </w:rPr>
        <w:t xml:space="preserve"> The tool is descriptive and illustrative; it is not investment advice, and the next-21-day baselines are historical averages of few overlapping windows, not forecasts.</w:t>
      </w:r>
    </w:p>
    <w:p>
      <w:pPr>
        <w:pStyle w:val="Heading1"/>
      </w:pPr>
      <w:r>
        <w:t>6. Conclusion and Future Work</w:t>
      </w:r>
    </w:p>
    <w:p>
      <w:pPr>
        <w:keepNext w:val="0"/>
        <w:spacing w:after="120"/>
        <w:jc w:val="both"/>
      </w:pPr>
      <w:r>
        <w:rPr>
          <w:rFonts w:ascii="Times New Roman" w:hAnsi="Times New Roman"/>
        </w:rPr>
        <w:t xml:space="preserve">We built and evaluated a platform that compares any market period with the dot-com, 2008 and COVID-19 crises through a length-invariant shape representation, a Transformer encoder and nearest-neighbour scoring over an HDBSCAN-structured corpus, alongside an HMM regime view and a walk-forward allocation workbench. The evaluation yields a clear, if modest, picture: the comparison reliably separates crisis-like from normal periods (crisis recall 49% at 1.0% false alarms) and recognises unseen crises as crisis-like, but it cannot yet say </w:t>
      </w:r>
      <w:r>
        <w:rPr>
          <w:rFonts w:ascii="Times New Roman" w:hAnsi="Times New Roman"/>
          <w:i/>
        </w:rPr>
        <w:t>which</w:t>
      </w:r>
      <w:r>
        <w:rPr>
          <w:rFonts w:ascii="Times New Roman" w:hAnsi="Times New Roman"/>
        </w:rPr>
        <w:t xml:space="preserve"> crisis a period resembles, and neither a trained Transformer nor the regime-aware ES allocator outperforms simple alternatives. We regard the diagnostics (the invalid-split failure, the untrained-encoder and untrained-policy controls, and the seed and bootstrap analysis) as useful results in their own right.</w:t>
      </w:r>
    </w:p>
    <w:p>
      <w:pPr>
        <w:keepNext w:val="0"/>
        <w:spacing w:after="120"/>
        <w:jc w:val="both"/>
      </w:pPr>
      <w:r>
        <w:rPr>
          <w:rFonts w:ascii="Times New Roman" w:hAnsi="Times New Roman"/>
          <w:b/>
        </w:rPr>
        <w:t>Future work.</w:t>
      </w:r>
      <w:r>
        <w:rPr>
          <w:rFonts w:ascii="Times New Roman" w:hAnsi="Times New Roman"/>
        </w:rPr>
        <w:t xml:space="preserve"> (i) Extend the corpus to more crises and markets and report event-level (not window-level) cross-validation; (ii) replace the single-crisis labels by a continuous severity or multi-label target and add shape descriptors that preserve timescale (e.g. the original duration) so that fast and slow crashes can be distinguished; (iii) pre-train the encoder on a much larger unlabelled corpus of windows, or compare contrastive objectives, before claiming a benefit from attention; (iv) implement PPO/DDPG agents under the same protocol with longer training windows, rolling retraining, regularisation of the policy and a realistic cost and liquidity model; (v) add automated tests and make the dot-com configuration valid by default; and (vi) evaluate the dashboard with potential users.</w:t>
      </w:r>
    </w:p>
    <w:p>
      <w:pPr>
        <w:pStyle w:val="Heading1"/>
      </w:pPr>
      <w:r>
        <w:t>Declarations</w:t>
      </w:r>
    </w:p>
    <w:p>
      <w:pPr>
        <w:keepNext w:val="0"/>
        <w:spacing w:after="120"/>
      </w:pPr>
      <w:r>
        <w:rPr>
          <w:rFonts w:ascii="Times New Roman" w:hAnsi="Times New Roman"/>
          <w:i/>
        </w:rPr>
        <w:t>The statements below are drafts prepared for the authors to confirm or amend before submission; the target journal’s exact declaration wording and requirements should be checked.</w:t>
      </w:r>
    </w:p>
    <w:p>
      <w:pPr>
        <w:keepNext w:val="0"/>
        <w:spacing w:after="120"/>
      </w:pPr>
      <w:r>
        <w:rPr>
          <w:rFonts w:ascii="Times New Roman" w:hAnsi="Times New Roman"/>
          <w:b/>
        </w:rPr>
        <w:t>Funding.</w:t>
      </w:r>
      <w:r>
        <w:rPr>
          <w:rFonts w:ascii="Times New Roman" w:hAnsi="Times New Roman"/>
        </w:rPr>
        <w:t xml:space="preserve"> No external funding was received for this work. </w:t>
      </w:r>
      <w:r>
        <w:rPr>
          <w:rFonts w:ascii="Times New Roman" w:hAnsi="Times New Roman"/>
          <w:i/>
        </w:rPr>
        <w:t>(To be confirmed by the authors.)</w:t>
      </w:r>
    </w:p>
    <w:p>
      <w:pPr>
        <w:keepNext w:val="0"/>
        <w:spacing w:after="120"/>
      </w:pPr>
      <w:r>
        <w:rPr>
          <w:rFonts w:ascii="Times New Roman" w:hAnsi="Times New Roman"/>
          <w:b/>
        </w:rPr>
        <w:t>Conflict of interest / competing interests.</w:t>
      </w:r>
      <w:r>
        <w:rPr>
          <w:rFonts w:ascii="Times New Roman" w:hAnsi="Times New Roman"/>
        </w:rPr>
        <w:t xml:space="preserve"> The authors declare no competing interests. </w:t>
      </w:r>
      <w:r>
        <w:rPr>
          <w:rFonts w:ascii="Times New Roman" w:hAnsi="Times New Roman"/>
          <w:i/>
        </w:rPr>
        <w:t>(To be confirmed by the authors.)</w:t>
      </w:r>
    </w:p>
    <w:p>
      <w:pPr>
        <w:keepNext w:val="0"/>
        <w:spacing w:after="120"/>
      </w:pPr>
      <w:r>
        <w:rPr>
          <w:rFonts w:ascii="Times New Roman" w:hAnsi="Times New Roman"/>
          <w:b/>
        </w:rPr>
        <w:t>Ethical approval.</w:t>
      </w:r>
      <w:r>
        <w:rPr>
          <w:rFonts w:ascii="Times New Roman" w:hAnsi="Times New Roman"/>
        </w:rPr>
        <w:t xml:space="preserve"> Not applicable: the study uses only publicly available market price data and involves no human participants or animals.</w:t>
      </w:r>
    </w:p>
    <w:p>
      <w:pPr>
        <w:keepNext w:val="0"/>
        <w:spacing w:after="120"/>
      </w:pPr>
      <w:r>
        <w:rPr>
          <w:rFonts w:ascii="Times New Roman" w:hAnsi="Times New Roman"/>
          <w:b/>
        </w:rPr>
        <w:t>Consent to participate.</w:t>
      </w:r>
      <w:r>
        <w:rPr>
          <w:rFonts w:ascii="Times New Roman" w:hAnsi="Times New Roman"/>
        </w:rPr>
        <w:t xml:space="preserve"> Not applicable.</w:t>
      </w:r>
    </w:p>
    <w:p>
      <w:pPr>
        <w:keepNext w:val="0"/>
        <w:spacing w:after="120"/>
      </w:pPr>
      <w:r>
        <w:rPr>
          <w:rFonts w:ascii="Times New Roman" w:hAnsi="Times New Roman"/>
          <w:b/>
        </w:rPr>
        <w:t>Consent for publication.</w:t>
      </w:r>
      <w:r>
        <w:rPr>
          <w:rFonts w:ascii="Times New Roman" w:hAnsi="Times New Roman"/>
        </w:rPr>
        <w:t xml:space="preserve"> Not applicable.</w:t>
      </w:r>
    </w:p>
    <w:p>
      <w:pPr>
        <w:keepNext w:val="0"/>
        <w:spacing w:after="120"/>
      </w:pPr>
      <w:r>
        <w:rPr>
          <w:rFonts w:ascii="Times New Roman" w:hAnsi="Times New Roman"/>
          <w:b/>
        </w:rPr>
        <w:t>Data availability.</w:t>
      </w:r>
      <w:r>
        <w:rPr>
          <w:rFonts w:ascii="Times New Roman" w:hAnsi="Times New Roman"/>
        </w:rPr>
        <w:t xml:space="preserve"> All price data are publicly available from Yahoo Finance [22]. The derived experiment outputs (backtest.json, ablation.json, matcher.json, embeddings) are included in the project’s paper/results directory.</w:t>
      </w:r>
    </w:p>
    <w:p>
      <w:pPr>
        <w:keepNext w:val="0"/>
        <w:spacing w:after="120"/>
      </w:pPr>
      <w:r>
        <w:rPr>
          <w:rFonts w:ascii="Times New Roman" w:hAnsi="Times New Roman"/>
          <w:b/>
        </w:rPr>
        <w:t>Code availability.</w:t>
      </w:r>
      <w:r>
        <w:rPr>
          <w:rFonts w:ascii="Times New Roman" w:hAnsi="Times New Roman"/>
        </w:rPr>
        <w:t xml:space="preserve"> The full source code (backend, dashboard, experiment and figure scripts) is in the project repository </w:t>
      </w:r>
      <w:r>
        <w:rPr>
          <w:rFonts w:ascii="Times New Roman" w:hAnsi="Times New Roman"/>
          <w:i/>
        </w:rPr>
        <w:t>[public repository URL to be added by the authors on release]</w:t>
      </w:r>
      <w:r>
        <w:rPr>
          <w:rFonts w:ascii="Times New Roman" w:hAnsi="Times New Roman"/>
        </w:rPr>
        <w:t>; commands to reproduce all results are listed in Appendix B.</w:t>
      </w:r>
    </w:p>
    <w:p>
      <w:pPr>
        <w:keepNext w:val="0"/>
        <w:spacing w:after="120"/>
      </w:pPr>
      <w:r>
        <w:rPr>
          <w:rFonts w:ascii="Times New Roman" w:hAnsi="Times New Roman"/>
          <w:b/>
        </w:rPr>
        <w:t>Author contributions.</w:t>
      </w:r>
      <w:r>
        <w:rPr>
          <w:rFonts w:ascii="Times New Roman" w:hAnsi="Times New Roman"/>
        </w:rPr>
        <w:t xml:space="preserve"> </w:t>
      </w:r>
      <w:r>
        <w:rPr>
          <w:rFonts w:ascii="Times New Roman" w:hAnsi="Times New Roman"/>
          <w:i/>
        </w:rPr>
        <w:t>[To be completed by the authors using the journal’s contribution taxonomy, e.g. conceptualisation, software, formal analysis, writing, supervision.]</w:t>
      </w:r>
      <w:r>
        <w:rPr>
          <w:rFonts w:ascii="Times New Roman" w:hAnsi="Times New Roman"/>
        </w:rPr>
        <w:t xml:space="preserve"> Dr. Arti Tiwari served as the faculty guide of the underlying course project.</w:t>
      </w:r>
    </w:p>
    <w:p>
      <w:pPr>
        <w:pStyle w:val="Heading1"/>
      </w:pPr>
      <w:r>
        <w:t>References</w:t>
      </w:r>
    </w:p>
    <w:p>
      <w:pPr>
        <w:spacing w:after="60"/>
        <w:ind w:left="504" w:hanging="504"/>
        <w:jc w:val="left"/>
      </w:pPr>
      <w:r>
        <w:rPr>
          <w:rFonts w:ascii="Times New Roman" w:hAnsi="Times New Roman"/>
          <w:sz w:val="19"/>
        </w:rPr>
        <w:t xml:space="preserve">[1] Cont R. Empirical properties of asset returns: stylized facts and statistical issues. </w:t>
      </w:r>
      <w:r>
        <w:rPr>
          <w:rFonts w:ascii="Times New Roman" w:hAnsi="Times New Roman"/>
          <w:i/>
          <w:sz w:val="19"/>
        </w:rPr>
        <w:t>Quant Finance</w:t>
      </w:r>
      <w:r>
        <w:rPr>
          <w:rFonts w:ascii="Times New Roman" w:hAnsi="Times New Roman"/>
          <w:sz w:val="19"/>
        </w:rPr>
        <w:t>. 2001;1(2):223–236.</w:t>
      </w:r>
    </w:p>
    <w:p>
      <w:pPr>
        <w:spacing w:after="60"/>
        <w:ind w:left="504" w:hanging="504"/>
        <w:jc w:val="left"/>
      </w:pPr>
      <w:r>
        <w:rPr>
          <w:rFonts w:ascii="Times New Roman" w:hAnsi="Times New Roman"/>
          <w:sz w:val="19"/>
        </w:rPr>
        <w:t xml:space="preserve">[2] Markowitz H. Portfolio selection. </w:t>
      </w:r>
      <w:r>
        <w:rPr>
          <w:rFonts w:ascii="Times New Roman" w:hAnsi="Times New Roman"/>
          <w:i/>
          <w:sz w:val="19"/>
        </w:rPr>
        <w:t>J Finance</w:t>
      </w:r>
      <w:r>
        <w:rPr>
          <w:rFonts w:ascii="Times New Roman" w:hAnsi="Times New Roman"/>
          <w:sz w:val="19"/>
        </w:rPr>
        <w:t>. 1952;7(1):77–91.</w:t>
      </w:r>
    </w:p>
    <w:p>
      <w:pPr>
        <w:spacing w:after="60"/>
        <w:ind w:left="504" w:hanging="504"/>
        <w:jc w:val="left"/>
      </w:pPr>
      <w:r>
        <w:rPr>
          <w:rFonts w:ascii="Times New Roman" w:hAnsi="Times New Roman"/>
          <w:sz w:val="19"/>
        </w:rPr>
        <w:t xml:space="preserve">[3] DeMiguel V, Garlappi L, Uppal R. Optimal versus naive diversification: how inefficient is the 1/N portfolio strategy? </w:t>
      </w:r>
      <w:r>
        <w:rPr>
          <w:rFonts w:ascii="Times New Roman" w:hAnsi="Times New Roman"/>
          <w:i/>
          <w:sz w:val="19"/>
        </w:rPr>
        <w:t>Rev Financ Stud</w:t>
      </w:r>
      <w:r>
        <w:rPr>
          <w:rFonts w:ascii="Times New Roman" w:hAnsi="Times New Roman"/>
          <w:sz w:val="19"/>
        </w:rPr>
        <w:t>. 2009;22(5):1915–1953.</w:t>
      </w:r>
    </w:p>
    <w:p>
      <w:pPr>
        <w:spacing w:after="60"/>
        <w:ind w:left="504" w:hanging="504"/>
        <w:jc w:val="left"/>
      </w:pPr>
      <w:r>
        <w:rPr>
          <w:rFonts w:ascii="Times New Roman" w:hAnsi="Times New Roman"/>
          <w:sz w:val="19"/>
        </w:rPr>
        <w:t xml:space="preserve">[4] Hamilton JD. A new approach to the economic analysis of nonstationary time series and the business cycle. </w:t>
      </w:r>
      <w:r>
        <w:rPr>
          <w:rFonts w:ascii="Times New Roman" w:hAnsi="Times New Roman"/>
          <w:i/>
          <w:sz w:val="19"/>
        </w:rPr>
        <w:t>Econometrica</w:t>
      </w:r>
      <w:r>
        <w:rPr>
          <w:rFonts w:ascii="Times New Roman" w:hAnsi="Times New Roman"/>
          <w:sz w:val="19"/>
        </w:rPr>
        <w:t>. 1989;57(2):357–384.</w:t>
      </w:r>
    </w:p>
    <w:p>
      <w:pPr>
        <w:spacing w:after="60"/>
        <w:ind w:left="504" w:hanging="504"/>
        <w:jc w:val="left"/>
      </w:pPr>
      <w:r>
        <w:rPr>
          <w:rFonts w:ascii="Times New Roman" w:hAnsi="Times New Roman"/>
          <w:sz w:val="19"/>
        </w:rPr>
        <w:t xml:space="preserve">[5] Ang A, Bekaert G. International asset allocation with regime shifts. </w:t>
      </w:r>
      <w:r>
        <w:rPr>
          <w:rFonts w:ascii="Times New Roman" w:hAnsi="Times New Roman"/>
          <w:i/>
          <w:sz w:val="19"/>
        </w:rPr>
        <w:t>Rev Financ Stud</w:t>
      </w:r>
      <w:r>
        <w:rPr>
          <w:rFonts w:ascii="Times New Roman" w:hAnsi="Times New Roman"/>
          <w:sz w:val="19"/>
        </w:rPr>
        <w:t>. 2002;15(4):1137–1187.</w:t>
      </w:r>
    </w:p>
    <w:p>
      <w:pPr>
        <w:spacing w:after="60"/>
        <w:ind w:left="504" w:hanging="504"/>
        <w:jc w:val="left"/>
      </w:pPr>
      <w:r>
        <w:rPr>
          <w:rFonts w:ascii="Times New Roman" w:hAnsi="Times New Roman"/>
          <w:sz w:val="19"/>
        </w:rPr>
        <w:t xml:space="preserve">[6] Moody J, Saffell M. Learning to trade via direct reinforcement. </w:t>
      </w:r>
      <w:r>
        <w:rPr>
          <w:rFonts w:ascii="Times New Roman" w:hAnsi="Times New Roman"/>
          <w:i/>
          <w:sz w:val="19"/>
        </w:rPr>
        <w:t>IEEE Trans Neural Netw</w:t>
      </w:r>
      <w:r>
        <w:rPr>
          <w:rFonts w:ascii="Times New Roman" w:hAnsi="Times New Roman"/>
          <w:sz w:val="19"/>
        </w:rPr>
        <w:t>. 2001;12(4):875–889.</w:t>
      </w:r>
    </w:p>
    <w:p>
      <w:pPr>
        <w:spacing w:after="60"/>
        <w:ind w:left="504" w:hanging="504"/>
        <w:jc w:val="left"/>
      </w:pPr>
      <w:r>
        <w:rPr>
          <w:rFonts w:ascii="Times New Roman" w:hAnsi="Times New Roman"/>
          <w:sz w:val="19"/>
        </w:rPr>
        <w:t xml:space="preserve">[7] Jiang Z, Xu D, Liang J. A deep reinforcement learning framework for the financial portfolio management problem. </w:t>
      </w:r>
      <w:r>
        <w:rPr>
          <w:rFonts w:ascii="Times New Roman" w:hAnsi="Times New Roman"/>
          <w:i/>
          <w:sz w:val="19"/>
        </w:rPr>
        <w:t>arXiv</w:t>
      </w:r>
      <w:r>
        <w:rPr>
          <w:rFonts w:ascii="Times New Roman" w:hAnsi="Times New Roman"/>
          <w:sz w:val="19"/>
        </w:rPr>
        <w:t>:1706.10059. 2017.</w:t>
      </w:r>
    </w:p>
    <w:p>
      <w:pPr>
        <w:spacing w:after="60"/>
        <w:ind w:left="504" w:hanging="504"/>
        <w:jc w:val="left"/>
      </w:pPr>
      <w:r>
        <w:rPr>
          <w:rFonts w:ascii="Times New Roman" w:hAnsi="Times New Roman"/>
          <w:sz w:val="19"/>
        </w:rPr>
        <w:t xml:space="preserve">[8] Reinforcement learning for single-stock portfolio optimization in equity markets. </w:t>
      </w:r>
      <w:r>
        <w:rPr>
          <w:rFonts w:ascii="Times New Roman" w:hAnsi="Times New Roman"/>
          <w:i/>
          <w:sz w:val="19"/>
        </w:rPr>
        <w:t>Int J Comput Intell Syst</w:t>
      </w:r>
      <w:r>
        <w:rPr>
          <w:rFonts w:ascii="Times New Roman" w:hAnsi="Times New Roman"/>
          <w:sz w:val="19"/>
        </w:rPr>
        <w:t xml:space="preserve"> (Springer). 2025.</w:t>
      </w:r>
    </w:p>
    <w:p>
      <w:pPr>
        <w:spacing w:after="60"/>
        <w:ind w:left="504" w:hanging="504"/>
        <w:jc w:val="left"/>
      </w:pPr>
      <w:r>
        <w:rPr>
          <w:rFonts w:ascii="Times New Roman" w:hAnsi="Times New Roman"/>
          <w:sz w:val="19"/>
        </w:rPr>
        <w:t xml:space="preserve">[9] Adaptive and regime-aware RL for portfolio optimization. </w:t>
      </w:r>
      <w:r>
        <w:rPr>
          <w:rFonts w:ascii="Times New Roman" w:hAnsi="Times New Roman"/>
          <w:i/>
          <w:sz w:val="19"/>
        </w:rPr>
        <w:t>arXiv</w:t>
      </w:r>
      <w:r>
        <w:rPr>
          <w:rFonts w:ascii="Times New Roman" w:hAnsi="Times New Roman"/>
          <w:sz w:val="19"/>
        </w:rPr>
        <w:t>:2509.14385. 2025.</w:t>
      </w:r>
    </w:p>
    <w:p>
      <w:pPr>
        <w:spacing w:after="60"/>
        <w:ind w:left="504" w:hanging="504"/>
        <w:jc w:val="left"/>
      </w:pPr>
      <w:r>
        <w:rPr>
          <w:rFonts w:ascii="Times New Roman" w:hAnsi="Times New Roman"/>
          <w:sz w:val="19"/>
        </w:rPr>
        <w:t xml:space="preserve">[10] Sharpe WF. The Sharpe ratio. </w:t>
      </w:r>
      <w:r>
        <w:rPr>
          <w:rFonts w:ascii="Times New Roman" w:hAnsi="Times New Roman"/>
          <w:i/>
          <w:sz w:val="19"/>
        </w:rPr>
        <w:t>J Portf Manag</w:t>
      </w:r>
      <w:r>
        <w:rPr>
          <w:rFonts w:ascii="Times New Roman" w:hAnsi="Times New Roman"/>
          <w:sz w:val="19"/>
        </w:rPr>
        <w:t>. 1994;21(1):49–58.</w:t>
      </w:r>
    </w:p>
    <w:p>
      <w:pPr>
        <w:spacing w:after="60"/>
        <w:ind w:left="504" w:hanging="504"/>
        <w:jc w:val="left"/>
      </w:pPr>
      <w:r>
        <w:rPr>
          <w:rFonts w:ascii="Times New Roman" w:hAnsi="Times New Roman"/>
          <w:sz w:val="19"/>
        </w:rPr>
        <w:t xml:space="preserve">[11] Rabiner LR. A tutorial on hidden Markov models and selected applications in speech recognition. </w:t>
      </w:r>
      <w:r>
        <w:rPr>
          <w:rFonts w:ascii="Times New Roman" w:hAnsi="Times New Roman"/>
          <w:i/>
          <w:sz w:val="19"/>
        </w:rPr>
        <w:t>Proc IEEE</w:t>
      </w:r>
      <w:r>
        <w:rPr>
          <w:rFonts w:ascii="Times New Roman" w:hAnsi="Times New Roman"/>
          <w:sz w:val="19"/>
        </w:rPr>
        <w:t>. 1989;77(2):257–286.</w:t>
      </w:r>
    </w:p>
    <w:p>
      <w:pPr>
        <w:spacing w:after="60"/>
        <w:ind w:left="504" w:hanging="504"/>
        <w:jc w:val="left"/>
      </w:pPr>
      <w:r>
        <w:rPr>
          <w:rFonts w:ascii="Times New Roman" w:hAnsi="Times New Roman"/>
          <w:sz w:val="19"/>
        </w:rPr>
        <w:t xml:space="preserve">[12] Lillicrap TP, Hunt JJ, Pritzel A, et al. Continuous control with deep reinforcement learning. In: </w:t>
      </w:r>
      <w:r>
        <w:rPr>
          <w:rFonts w:ascii="Times New Roman" w:hAnsi="Times New Roman"/>
          <w:i/>
          <w:sz w:val="19"/>
        </w:rPr>
        <w:t>Proc ICLR</w:t>
      </w:r>
      <w:r>
        <w:rPr>
          <w:rFonts w:ascii="Times New Roman" w:hAnsi="Times New Roman"/>
          <w:sz w:val="19"/>
        </w:rPr>
        <w:t>. 2016 (</w:t>
      </w:r>
      <w:r>
        <w:rPr>
          <w:rFonts w:ascii="Times New Roman" w:hAnsi="Times New Roman"/>
          <w:i/>
          <w:sz w:val="19"/>
        </w:rPr>
        <w:t>arXiv</w:t>
      </w:r>
      <w:r>
        <w:rPr>
          <w:rFonts w:ascii="Times New Roman" w:hAnsi="Times New Roman"/>
          <w:sz w:val="19"/>
        </w:rPr>
        <w:t>:1509.02971).</w:t>
      </w:r>
    </w:p>
    <w:p>
      <w:pPr>
        <w:spacing w:after="60"/>
        <w:ind w:left="504" w:hanging="504"/>
        <w:jc w:val="left"/>
      </w:pPr>
      <w:r>
        <w:rPr>
          <w:rFonts w:ascii="Times New Roman" w:hAnsi="Times New Roman"/>
          <w:sz w:val="19"/>
        </w:rPr>
        <w:t xml:space="preserve">[13] Schulman J, Wolski F, Dhariwal P, Radford A, Klimov O. Proximal policy optimization algorithms. </w:t>
      </w:r>
      <w:r>
        <w:rPr>
          <w:rFonts w:ascii="Times New Roman" w:hAnsi="Times New Roman"/>
          <w:i/>
          <w:sz w:val="19"/>
        </w:rPr>
        <w:t>arXiv</w:t>
      </w:r>
      <w:r>
        <w:rPr>
          <w:rFonts w:ascii="Times New Roman" w:hAnsi="Times New Roman"/>
          <w:sz w:val="19"/>
        </w:rPr>
        <w:t>:1707.06347. 2017.</w:t>
      </w:r>
    </w:p>
    <w:p>
      <w:pPr>
        <w:spacing w:after="60"/>
        <w:ind w:left="504" w:hanging="504"/>
        <w:jc w:val="left"/>
      </w:pPr>
      <w:r>
        <w:rPr>
          <w:rFonts w:ascii="Times New Roman" w:hAnsi="Times New Roman"/>
          <w:sz w:val="19"/>
        </w:rPr>
        <w:t xml:space="preserve">[14] Zhang B. Graph attention-based heterogeneous multi-agent deep reinforcement learning for adaptive portfolio optimization. </w:t>
      </w:r>
      <w:r>
        <w:rPr>
          <w:rFonts w:ascii="Times New Roman" w:hAnsi="Times New Roman"/>
          <w:i/>
          <w:sz w:val="19"/>
        </w:rPr>
        <w:t>Sci Rep</w:t>
      </w:r>
      <w:r>
        <w:rPr>
          <w:rFonts w:ascii="Times New Roman" w:hAnsi="Times New Roman"/>
          <w:sz w:val="19"/>
        </w:rPr>
        <w:t>. 2025;15.</w:t>
      </w:r>
    </w:p>
    <w:p>
      <w:pPr>
        <w:spacing w:after="60"/>
        <w:ind w:left="504" w:hanging="504"/>
        <w:jc w:val="left"/>
      </w:pPr>
      <w:r>
        <w:rPr>
          <w:rFonts w:ascii="Times New Roman" w:hAnsi="Times New Roman"/>
          <w:sz w:val="19"/>
        </w:rPr>
        <w:t xml:space="preserve">[15] Deep reinforcement learning for adaptive portfolio optimization in dynamic financial environments. </w:t>
      </w:r>
      <w:r>
        <w:rPr>
          <w:rFonts w:ascii="Times New Roman" w:hAnsi="Times New Roman"/>
          <w:i/>
          <w:sz w:val="19"/>
        </w:rPr>
        <w:t>Appl Artif Intell Comput Syst</w:t>
      </w:r>
      <w:r>
        <w:rPr>
          <w:rFonts w:ascii="Times New Roman" w:hAnsi="Times New Roman"/>
          <w:sz w:val="19"/>
        </w:rPr>
        <w:t>. 2025.</w:t>
      </w:r>
    </w:p>
    <w:p>
      <w:pPr>
        <w:spacing w:after="60"/>
        <w:ind w:left="504" w:hanging="504"/>
        <w:jc w:val="left"/>
      </w:pPr>
      <w:r>
        <w:rPr>
          <w:rFonts w:ascii="Times New Roman" w:hAnsi="Times New Roman"/>
          <w:sz w:val="19"/>
        </w:rPr>
        <w:t xml:space="preserve">[16] Vaswani A, Shazeer N, Parmar N, et al. Attention is all you need. In: </w:t>
      </w:r>
      <w:r>
        <w:rPr>
          <w:rFonts w:ascii="Times New Roman" w:hAnsi="Times New Roman"/>
          <w:i/>
          <w:sz w:val="19"/>
        </w:rPr>
        <w:t>Adv Neural Inf Process Syst</w:t>
      </w:r>
      <w:r>
        <w:rPr>
          <w:rFonts w:ascii="Times New Roman" w:hAnsi="Times New Roman"/>
          <w:sz w:val="19"/>
        </w:rPr>
        <w:t>. 2017;30:5998–6008.</w:t>
      </w:r>
    </w:p>
    <w:p>
      <w:pPr>
        <w:spacing w:after="60"/>
        <w:ind w:left="504" w:hanging="504"/>
        <w:jc w:val="left"/>
      </w:pPr>
      <w:r>
        <w:rPr>
          <w:rFonts w:ascii="Times New Roman" w:hAnsi="Times New Roman"/>
          <w:sz w:val="19"/>
        </w:rPr>
        <w:t xml:space="preserve">[17] Zerveas G, Jayaraman S, Patel D, Bhamidipaty A, Eickhoff C. A transformer-based framework for multivariate time series representation learning. In: </w:t>
      </w:r>
      <w:r>
        <w:rPr>
          <w:rFonts w:ascii="Times New Roman" w:hAnsi="Times New Roman"/>
          <w:i/>
          <w:sz w:val="19"/>
        </w:rPr>
        <w:t>Proc KDD</w:t>
      </w:r>
      <w:r>
        <w:rPr>
          <w:rFonts w:ascii="Times New Roman" w:hAnsi="Times New Roman"/>
          <w:sz w:val="19"/>
        </w:rPr>
        <w:t>. 2021:2114–2124.</w:t>
      </w:r>
    </w:p>
    <w:p>
      <w:pPr>
        <w:spacing w:after="60"/>
        <w:ind w:left="504" w:hanging="504"/>
        <w:jc w:val="left"/>
      </w:pPr>
      <w:r>
        <w:rPr>
          <w:rFonts w:ascii="Times New Roman" w:hAnsi="Times New Roman"/>
          <w:sz w:val="19"/>
        </w:rPr>
        <w:t xml:space="preserve">[18] Campello RJGB, Moulavi D, Sander J. Density-based clustering based on hierarchical density estimates. In: </w:t>
      </w:r>
      <w:r>
        <w:rPr>
          <w:rFonts w:ascii="Times New Roman" w:hAnsi="Times New Roman"/>
          <w:i/>
          <w:sz w:val="19"/>
        </w:rPr>
        <w:t>Adv Knowl Discov Data Min (PAKDD)</w:t>
      </w:r>
      <w:r>
        <w:rPr>
          <w:rFonts w:ascii="Times New Roman" w:hAnsi="Times New Roman"/>
          <w:sz w:val="19"/>
        </w:rPr>
        <w:t>, LNCS 7819. 2013:160–172.</w:t>
      </w:r>
    </w:p>
    <w:p>
      <w:pPr>
        <w:spacing w:after="60"/>
        <w:ind w:left="504" w:hanging="504"/>
        <w:jc w:val="left"/>
      </w:pPr>
      <w:r>
        <w:rPr>
          <w:rFonts w:ascii="Times New Roman" w:hAnsi="Times New Roman"/>
          <w:sz w:val="19"/>
        </w:rPr>
        <w:t xml:space="preserve">[19] McInnes L, Healy J, Astels S. hdbscan: hierarchical density based clustering. </w:t>
      </w:r>
      <w:r>
        <w:rPr>
          <w:rFonts w:ascii="Times New Roman" w:hAnsi="Times New Roman"/>
          <w:i/>
          <w:sz w:val="19"/>
        </w:rPr>
        <w:t>J Open Source Softw</w:t>
      </w:r>
      <w:r>
        <w:rPr>
          <w:rFonts w:ascii="Times New Roman" w:hAnsi="Times New Roman"/>
          <w:sz w:val="19"/>
        </w:rPr>
        <w:t>. 2017;2(11):205.</w:t>
      </w:r>
    </w:p>
    <w:p>
      <w:pPr>
        <w:spacing w:after="60"/>
        <w:ind w:left="504" w:hanging="504"/>
        <w:jc w:val="left"/>
      </w:pPr>
      <w:r>
        <w:rPr>
          <w:rFonts w:ascii="Times New Roman" w:hAnsi="Times New Roman"/>
          <w:sz w:val="19"/>
        </w:rPr>
        <w:t xml:space="preserve">[20] Pedregosa F, Varoquaux G, Gramfort A, et al. Scikit-learn: machine learning in Python. </w:t>
      </w:r>
      <w:r>
        <w:rPr>
          <w:rFonts w:ascii="Times New Roman" w:hAnsi="Times New Roman"/>
          <w:i/>
          <w:sz w:val="19"/>
        </w:rPr>
        <w:t>J Mach Learn Res</w:t>
      </w:r>
      <w:r>
        <w:rPr>
          <w:rFonts w:ascii="Times New Roman" w:hAnsi="Times New Roman"/>
          <w:sz w:val="19"/>
        </w:rPr>
        <w:t>. 2011;12:2825–2830.</w:t>
      </w:r>
    </w:p>
    <w:p>
      <w:pPr>
        <w:spacing w:after="60"/>
        <w:ind w:left="504" w:hanging="504"/>
        <w:jc w:val="left"/>
      </w:pPr>
      <w:r>
        <w:rPr>
          <w:rFonts w:ascii="Times New Roman" w:hAnsi="Times New Roman"/>
          <w:sz w:val="19"/>
        </w:rPr>
        <w:t xml:space="preserve">[21] Salimans T, Ho J, Chen X, Sidor S, Sutskever I. Evolution strategies as a scalable alternative to reinforcement learning. </w:t>
      </w:r>
      <w:r>
        <w:rPr>
          <w:rFonts w:ascii="Times New Roman" w:hAnsi="Times New Roman"/>
          <w:i/>
          <w:sz w:val="19"/>
        </w:rPr>
        <w:t>arXiv</w:t>
      </w:r>
      <w:r>
        <w:rPr>
          <w:rFonts w:ascii="Times New Roman" w:hAnsi="Times New Roman"/>
          <w:sz w:val="19"/>
        </w:rPr>
        <w:t>:1703.03864. 2017.</w:t>
      </w:r>
    </w:p>
    <w:p>
      <w:pPr>
        <w:spacing w:after="60"/>
        <w:ind w:left="504" w:hanging="504"/>
        <w:jc w:val="left"/>
      </w:pPr>
      <w:r>
        <w:rPr>
          <w:rFonts w:ascii="Times New Roman" w:hAnsi="Times New Roman"/>
          <w:sz w:val="19"/>
        </w:rPr>
        <w:t>[22] Yahoo Finance. Historical market data (chart API). https://finance.yahoo.com (accessed October 2026).</w:t>
      </w:r>
    </w:p>
    <w:p>
      <w:pPr>
        <w:spacing w:after="60"/>
        <w:ind w:left="504" w:hanging="504"/>
        <w:jc w:val="left"/>
      </w:pPr>
      <w:r>
        <w:rPr>
          <w:rFonts w:ascii="Times New Roman" w:hAnsi="Times New Roman"/>
          <w:sz w:val="19"/>
        </w:rPr>
        <w:t xml:space="preserve">[23] Hendrycks D, Gimpel K. Gaussian error linear units (GELUs). </w:t>
      </w:r>
      <w:r>
        <w:rPr>
          <w:rFonts w:ascii="Times New Roman" w:hAnsi="Times New Roman"/>
          <w:i/>
          <w:sz w:val="19"/>
        </w:rPr>
        <w:t>arXiv</w:t>
      </w:r>
      <w:r>
        <w:rPr>
          <w:rFonts w:ascii="Times New Roman" w:hAnsi="Times New Roman"/>
          <w:sz w:val="19"/>
        </w:rPr>
        <w:t>:1606.08415. 2016.</w:t>
      </w:r>
    </w:p>
    <w:p>
      <w:pPr>
        <w:spacing w:after="60"/>
        <w:ind w:left="504" w:hanging="504"/>
        <w:jc w:val="left"/>
      </w:pPr>
      <w:r>
        <w:rPr>
          <w:rFonts w:ascii="Times New Roman" w:hAnsi="Times New Roman"/>
          <w:sz w:val="19"/>
        </w:rPr>
        <w:t xml:space="preserve">[24] Ba JL, Kiros JR, Hinton GE. Layer normalization. </w:t>
      </w:r>
      <w:r>
        <w:rPr>
          <w:rFonts w:ascii="Times New Roman" w:hAnsi="Times New Roman"/>
          <w:i/>
          <w:sz w:val="19"/>
        </w:rPr>
        <w:t>arXiv</w:t>
      </w:r>
      <w:r>
        <w:rPr>
          <w:rFonts w:ascii="Times New Roman" w:hAnsi="Times New Roman"/>
          <w:sz w:val="19"/>
        </w:rPr>
        <w:t>:1607.06450. 2016.</w:t>
      </w:r>
    </w:p>
    <w:p>
      <w:pPr>
        <w:spacing w:after="60"/>
        <w:ind w:left="504" w:hanging="504"/>
        <w:jc w:val="left"/>
      </w:pPr>
      <w:r>
        <w:rPr>
          <w:rFonts w:ascii="Times New Roman" w:hAnsi="Times New Roman"/>
          <w:sz w:val="19"/>
        </w:rPr>
        <w:t xml:space="preserve">[25] Kingma DP, Ba J. Adam: a method for stochastic optimization. In: </w:t>
      </w:r>
      <w:r>
        <w:rPr>
          <w:rFonts w:ascii="Times New Roman" w:hAnsi="Times New Roman"/>
          <w:i/>
          <w:sz w:val="19"/>
        </w:rPr>
        <w:t>Proc ICLR</w:t>
      </w:r>
      <w:r>
        <w:rPr>
          <w:rFonts w:ascii="Times New Roman" w:hAnsi="Times New Roman"/>
          <w:sz w:val="19"/>
        </w:rPr>
        <w:t>. 2015 (</w:t>
      </w:r>
      <w:r>
        <w:rPr>
          <w:rFonts w:ascii="Times New Roman" w:hAnsi="Times New Roman"/>
          <w:i/>
          <w:sz w:val="19"/>
        </w:rPr>
        <w:t>arXiv</w:t>
      </w:r>
      <w:r>
        <w:rPr>
          <w:rFonts w:ascii="Times New Roman" w:hAnsi="Times New Roman"/>
          <w:sz w:val="19"/>
        </w:rPr>
        <w:t>:1412.6980).</w:t>
      </w:r>
    </w:p>
    <w:p>
      <w:pPr>
        <w:spacing w:after="60"/>
        <w:ind w:left="504" w:hanging="504"/>
        <w:jc w:val="left"/>
      </w:pPr>
      <w:r>
        <w:rPr>
          <w:rFonts w:ascii="Times New Roman" w:hAnsi="Times New Roman"/>
          <w:sz w:val="19"/>
        </w:rPr>
        <w:t xml:space="preserve">[26] Paszke A, Gross S, Massa F, et al. PyTorch: an imperative style, high-performance deep learning library. In: </w:t>
      </w:r>
      <w:r>
        <w:rPr>
          <w:rFonts w:ascii="Times New Roman" w:hAnsi="Times New Roman"/>
          <w:i/>
          <w:sz w:val="19"/>
        </w:rPr>
        <w:t>Adv Neural Inf Process Syst</w:t>
      </w:r>
      <w:r>
        <w:rPr>
          <w:rFonts w:ascii="Times New Roman" w:hAnsi="Times New Roman"/>
          <w:sz w:val="19"/>
        </w:rPr>
        <w:t>. 2019;32:8024–8035.</w:t>
      </w:r>
    </w:p>
    <w:p>
      <w:pPr>
        <w:spacing w:after="60"/>
        <w:ind w:left="504" w:hanging="504"/>
        <w:jc w:val="left"/>
      </w:pPr>
      <w:r>
        <w:rPr>
          <w:rFonts w:ascii="Times New Roman" w:hAnsi="Times New Roman"/>
          <w:sz w:val="19"/>
        </w:rPr>
        <w:t xml:space="preserve">[27] Politis DN, Romano JP. The stationary bootstrap. </w:t>
      </w:r>
      <w:r>
        <w:rPr>
          <w:rFonts w:ascii="Times New Roman" w:hAnsi="Times New Roman"/>
          <w:i/>
          <w:sz w:val="19"/>
        </w:rPr>
        <w:t>J Am Stat Assoc</w:t>
      </w:r>
      <w:r>
        <w:rPr>
          <w:rFonts w:ascii="Times New Roman" w:hAnsi="Times New Roman"/>
          <w:sz w:val="19"/>
        </w:rPr>
        <w:t>. 1994;89(428):1303–1313.</w:t>
      </w:r>
    </w:p>
    <w:p>
      <w:r>
        <w:br w:type="page"/>
      </w:r>
    </w:p>
    <w:p>
      <w:pPr>
        <w:pStyle w:val="Heading1"/>
      </w:pPr>
      <w:r>
        <w:t>Appendix A. Software screenshots</w:t>
      </w:r>
    </w:p>
    <w:p>
      <w:pPr>
        <w:keepNext w:val="0"/>
        <w:spacing w:after="120"/>
        <w:jc w:val="both"/>
      </w:pPr>
      <w:r>
        <w:rPr>
          <w:rFonts w:ascii="Times New Roman" w:hAnsi="Times New Roman"/>
        </w:rPr>
        <w:t>The dashboard (React/Vite, dark theme) as captured with a headless browser against the running back end on 7 October 2026.</w:t>
      </w:r>
    </w:p>
    <w:p>
      <w:pPr>
        <w:keepNext/>
        <w:spacing w:after="60"/>
        <w:jc w:val="center"/>
      </w:pPr>
      <w:r>
        <w:drawing>
          <wp:inline xmlns:a="http://schemas.openxmlformats.org/drawingml/2006/main" xmlns:pic="http://schemas.openxmlformats.org/drawingml/2006/picture">
            <wp:extent cx="5120640" cy="5274259"/>
            <wp:docPr id="25" name="Picture 25"/>
            <wp:cNvGraphicFramePr>
              <a:graphicFrameLocks noChangeAspect="1"/>
            </wp:cNvGraphicFramePr>
            <a:graphic>
              <a:graphicData uri="http://schemas.openxmlformats.org/drawingml/2006/picture">
                <pic:pic>
                  <pic:nvPicPr>
                    <pic:cNvPr id="0" name="ss_backtest.jpg"/>
                    <pic:cNvPicPr/>
                  </pic:nvPicPr>
                  <pic:blipFill>
                    <a:blip r:embed="rId34"/>
                    <a:stretch>
                      <a:fillRect/>
                    </a:stretch>
                  </pic:blipFill>
                  <pic:spPr>
                    <a:xfrm>
                      <a:off x="0" y="0"/>
                      <a:ext cx="5120640" cy="5274259"/>
                    </a:xfrm>
                    <a:prstGeom prst="rect"/>
                  </pic:spPr>
                </pic:pic>
              </a:graphicData>
            </a:graphic>
          </wp:inline>
        </w:drawing>
      </w:r>
    </w:p>
    <w:p>
      <w:pPr>
        <w:spacing w:after="200"/>
        <w:jc w:val="both"/>
      </w:pPr>
      <w:r>
        <w:rPr>
          <w:rFonts w:ascii="Times New Roman" w:hAnsi="Times New Roman"/>
          <w:b/>
          <w:sz w:val="19"/>
        </w:rPr>
        <w:t xml:space="preserve">Fig. 14. </w:t>
      </w:r>
      <w:r>
        <w:rPr>
          <w:rFonts w:ascii="Times New Roman" w:hAnsi="Times New Roman"/>
          <w:sz w:val="19"/>
        </w:rPr>
        <w:t>Portfolio Backtest tab (2008 GFC): value curves with the train/test split and crisis window, performance-metrics table and the adaptive policy’s allocation over time.</w:t>
      </w:r>
    </w:p>
    <w:p>
      <w:pPr>
        <w:keepNext/>
        <w:spacing w:after="60"/>
        <w:jc w:val="center"/>
      </w:pPr>
      <w:r>
        <w:drawing>
          <wp:inline xmlns:a="http://schemas.openxmlformats.org/drawingml/2006/main" xmlns:pic="http://schemas.openxmlformats.org/drawingml/2006/picture">
            <wp:extent cx="5120640" cy="6317253"/>
            <wp:docPr id="26" name="Picture 26"/>
            <wp:cNvGraphicFramePr>
              <a:graphicFrameLocks noChangeAspect="1"/>
            </wp:cNvGraphicFramePr>
            <a:graphic>
              <a:graphicData uri="http://schemas.openxmlformats.org/drawingml/2006/picture">
                <pic:pic>
                  <pic:nvPicPr>
                    <pic:cNvPr id="0" name="ss_regime_covid.jpg"/>
                    <pic:cNvPicPr/>
                  </pic:nvPicPr>
                  <pic:blipFill>
                    <a:blip r:embed="rId35"/>
                    <a:stretch>
                      <a:fillRect/>
                    </a:stretch>
                  </pic:blipFill>
                  <pic:spPr>
                    <a:xfrm>
                      <a:off x="0" y="0"/>
                      <a:ext cx="5120640" cy="6317253"/>
                    </a:xfrm>
                    <a:prstGeom prst="rect"/>
                  </pic:spPr>
                </pic:pic>
              </a:graphicData>
            </a:graphic>
          </wp:inline>
        </w:drawing>
      </w:r>
    </w:p>
    <w:p>
      <w:pPr>
        <w:spacing w:after="200"/>
        <w:jc w:val="both"/>
      </w:pPr>
      <w:r>
        <w:rPr>
          <w:rFonts w:ascii="Times New Roman" w:hAnsi="Times New Roman"/>
          <w:b/>
          <w:sz w:val="19"/>
        </w:rPr>
        <w:t xml:space="preserve">Fig. 15. </w:t>
      </w:r>
      <w:r>
        <w:rPr>
          <w:rFonts w:ascii="Times New Roman" w:hAnsi="Times New Roman"/>
          <w:sz w:val="19"/>
        </w:rPr>
        <w:t>Regime Detection tab with the Historical Pattern Comparison report: the COVID-19 window (15 January – 15 May 2020, SPY) scored against the COVID-19 reference windows, with overlay, statistics and insights.</w:t>
      </w:r>
    </w:p>
    <w:p>
      <w:pPr>
        <w:keepNext/>
        <w:spacing w:after="60"/>
        <w:jc w:val="center"/>
      </w:pPr>
      <w:r>
        <w:drawing>
          <wp:inline xmlns:a="http://schemas.openxmlformats.org/drawingml/2006/main" xmlns:pic="http://schemas.openxmlformats.org/drawingml/2006/picture">
            <wp:extent cx="4572000" cy="5303520"/>
            <wp:docPr id="27" name="Picture 27"/>
            <wp:cNvGraphicFramePr>
              <a:graphicFrameLocks noChangeAspect="1"/>
            </wp:cNvGraphicFramePr>
            <a:graphic>
              <a:graphicData uri="http://schemas.openxmlformats.org/drawingml/2006/picture">
                <pic:pic>
                  <pic:nvPicPr>
                    <pic:cNvPr id="0" name="ss_about.jpg"/>
                    <pic:cNvPicPr/>
                  </pic:nvPicPr>
                  <pic:blipFill>
                    <a:blip r:embed="rId36"/>
                    <a:stretch>
                      <a:fillRect/>
                    </a:stretch>
                  </pic:blipFill>
                  <pic:spPr>
                    <a:xfrm>
                      <a:off x="0" y="0"/>
                      <a:ext cx="4572000" cy="5303520"/>
                    </a:xfrm>
                    <a:prstGeom prst="rect"/>
                  </pic:spPr>
                </pic:pic>
              </a:graphicData>
            </a:graphic>
          </wp:inline>
        </w:drawing>
      </w:r>
    </w:p>
    <w:p>
      <w:pPr>
        <w:spacing w:after="200"/>
        <w:jc w:val="both"/>
      </w:pPr>
      <w:r>
        <w:rPr>
          <w:rFonts w:ascii="Times New Roman" w:hAnsi="Times New Roman"/>
          <w:b/>
          <w:sz w:val="19"/>
        </w:rPr>
        <w:t xml:space="preserve">Fig. 16. </w:t>
      </w:r>
      <w:r>
        <w:rPr>
          <w:rFonts w:ascii="Times New Roman" w:hAnsi="Times New Roman"/>
          <w:sz w:val="19"/>
        </w:rPr>
        <w:t>About / Tech Stack tab describing the method and its stack.</w:t>
      </w:r>
    </w:p>
    <w:p>
      <w:pPr>
        <w:pStyle w:val="Heading1"/>
      </w:pPr>
      <w:r>
        <w:t>Appendix B. Reproducibility</w:t>
      </w:r>
    </w:p>
    <w:p>
      <w:pPr>
        <w:keepNext w:val="0"/>
        <w:spacing w:after="120"/>
      </w:pPr>
      <w:r>
        <w:rPr>
          <w:rFonts w:ascii="Times New Roman" w:hAnsi="Times New Roman"/>
        </w:rPr>
        <w:t>From the project root (Python 3.12 and Node 18+; no API keys):</w:t>
      </w:r>
    </w:p>
    <w:p>
      <w:pPr>
        <w:spacing w:after="20"/>
      </w:pPr>
      <w:r>
        <w:rPr>
          <w:rFonts w:ascii="Courier New" w:hAnsi="Courier New"/>
          <w:sz w:val="17"/>
        </w:rPr>
        <w:t>./run.sh                       # starts the API (127.0.0.1:8000) and the dashboard (127.0.0.1:5173)</w:t>
      </w:r>
    </w:p>
    <w:p>
      <w:pPr>
        <w:spacing w:after="20"/>
      </w:pPr>
      <w:r>
        <w:rPr>
          <w:rFonts w:ascii="Courier New" w:hAnsi="Courier New"/>
          <w:sz w:val="17"/>
        </w:rPr>
        <w:t>backend/.venv/bin/python paper/scripts/exp_backtest.py     # E1: backtests, bootstrap, dataset statistics</w:t>
      </w:r>
    </w:p>
    <w:p>
      <w:pPr>
        <w:spacing w:after="20"/>
      </w:pPr>
      <w:r>
        <w:rPr>
          <w:rFonts w:ascii="Courier New" w:hAnsi="Courier New"/>
          <w:sz w:val="17"/>
        </w:rPr>
        <w:t>backend/.venv/bin/python paper/scripts/exp_ablation.py     # E2: 6 seeds × 4 settings × 3 variants</w:t>
      </w:r>
    </w:p>
    <w:p>
      <w:pPr>
        <w:spacing w:after="20"/>
      </w:pPr>
      <w:r>
        <w:rPr>
          <w:rFonts w:ascii="Courier New" w:hAnsi="Courier New"/>
          <w:sz w:val="17"/>
        </w:rPr>
        <w:t>backend/.venv/bin/python paper/scripts/exp_matcher.py      # E3/E4: blocked CV, leave-one-event-out, embeddings</w:t>
      </w:r>
    </w:p>
    <w:p>
      <w:pPr>
        <w:spacing w:after="20"/>
      </w:pPr>
      <w:r>
        <w:rPr>
          <w:rFonts w:ascii="Courier New" w:hAnsi="Courier New"/>
          <w:sz w:val="17"/>
        </w:rPr>
        <w:t>python paper/scripts/fig_diagrams.py; python paper/scripts/fig_results.py   # figures</w:t>
      </w:r>
    </w:p>
    <w:p>
      <w:pPr>
        <w:spacing w:after="20"/>
      </w:pPr>
      <w:r>
        <w:rPr>
          <w:rFonts w:ascii="Courier New" w:hAnsi="Courier New"/>
          <w:sz w:val="17"/>
        </w:rPr>
        <w:t>backend/.venv/bin/python paper/scripts/build_paper.py      # this manuscript</w:t>
      </w:r>
    </w:p>
    <w:sectPr w:rsidR="00FC693F" w:rsidRPr="0006063C" w:rsidSect="00034616">
      <w:footerReference w:type="default" r:id="rId9"/>
      <w:pgSz w:w="11909" w:h="16834"/>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