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BB8E" w14:textId="2E214C14" w:rsidR="00E84C1D" w:rsidRPr="00E84C1D" w:rsidRDefault="00E84C1D" w:rsidP="00E84C1D">
      <w:pPr>
        <w:rPr>
          <w:rFonts w:ascii="Segoe UI Emoji" w:hAnsi="Segoe UI Emoji" w:cs="Segoe UI Emoji"/>
          <w:b/>
          <w:bCs/>
          <w:sz w:val="32"/>
          <w:szCs w:val="32"/>
        </w:rPr>
      </w:pPr>
      <w:r w:rsidRPr="00E84C1D">
        <w:rPr>
          <w:rFonts w:ascii="Segoe UI Emoji" w:hAnsi="Segoe UI Emoji" w:cs="Segoe UI Emoji"/>
          <w:b/>
          <w:bCs/>
          <w:sz w:val="32"/>
          <w:szCs w:val="32"/>
        </w:rPr>
        <w:t>Read Me Document</w:t>
      </w:r>
    </w:p>
    <w:p w14:paraId="682590B4" w14:textId="1622D56C" w:rsidR="00E84C1D" w:rsidRPr="00E84C1D" w:rsidRDefault="00E84C1D" w:rsidP="00E84C1D">
      <w:pPr>
        <w:rPr>
          <w:rFonts w:ascii="Segoe UI Emoji" w:hAnsi="Segoe UI Emoji" w:cs="Segoe UI Emoji"/>
          <w:b/>
          <w:bCs/>
        </w:rPr>
      </w:pPr>
      <w:r w:rsidRPr="00E84C1D">
        <w:rPr>
          <w:rFonts w:ascii="Segoe UI Emoji" w:hAnsi="Segoe UI Emoji" w:cs="Segoe UI Emoji"/>
          <w:b/>
          <w:bCs/>
        </w:rPr>
        <w:t>Screen Shot of the Dashboard</w:t>
      </w:r>
    </w:p>
    <w:p w14:paraId="24362B14" w14:textId="590B7A68" w:rsidR="00E32083" w:rsidRDefault="00E32083">
      <w:r w:rsidRPr="00E32083">
        <w:rPr>
          <w:noProof/>
        </w:rPr>
        <w:drawing>
          <wp:inline distT="0" distB="0" distL="0" distR="0" wp14:anchorId="5F071A8A" wp14:editId="0C868976">
            <wp:extent cx="6753176" cy="3505768"/>
            <wp:effectExtent l="0" t="0" r="0" b="0"/>
            <wp:docPr id="37196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640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791379" cy="352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EE1C1" w14:textId="33265DF3" w:rsidR="00E32083" w:rsidRPr="00E32083" w:rsidRDefault="00753940" w:rsidP="00E32083">
      <w:pPr>
        <w:rPr>
          <w:b/>
          <w:bCs/>
        </w:rPr>
      </w:pPr>
      <w:r>
        <w:rPr>
          <w:b/>
          <w:bCs/>
        </w:rPr>
        <w:t xml:space="preserve">Below are the </w:t>
      </w:r>
      <w:r w:rsidR="00E32083" w:rsidRPr="00E32083">
        <w:rPr>
          <w:b/>
          <w:bCs/>
        </w:rPr>
        <w:t>KPIs</w:t>
      </w:r>
      <w:r>
        <w:rPr>
          <w:b/>
          <w:bCs/>
        </w:rPr>
        <w:t>:</w:t>
      </w:r>
    </w:p>
    <w:p w14:paraId="56379C0D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1️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Workforce Structure KPIs</w:t>
      </w:r>
    </w:p>
    <w:p w14:paraId="2E6A9124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Total Headcount</w:t>
      </w:r>
    </w:p>
    <w:p w14:paraId="494ED391" w14:textId="77777777" w:rsidR="00E32083" w:rsidRPr="00E32083" w:rsidRDefault="00E32083" w:rsidP="00E32083">
      <w:r w:rsidRPr="00E32083">
        <w:rPr>
          <w:b/>
          <w:bCs/>
        </w:rPr>
        <w:t>Definition:</w:t>
      </w:r>
      <w:r w:rsidRPr="00E32083">
        <w:t xml:space="preserve"> Total number of active employees</w:t>
      </w:r>
      <w:r w:rsidRPr="00E32083">
        <w:br/>
      </w:r>
      <w:r w:rsidRPr="00E32083">
        <w:rPr>
          <w:b/>
          <w:bCs/>
        </w:rPr>
        <w:t>Excel Formula:</w:t>
      </w:r>
    </w:p>
    <w:p w14:paraId="70173212" w14:textId="77777777" w:rsidR="00E32083" w:rsidRPr="00E32083" w:rsidRDefault="00E32083" w:rsidP="00E32083">
      <w:r w:rsidRPr="00E32083">
        <w:t>=COUNTA(A2:A100)</w:t>
      </w:r>
    </w:p>
    <w:p w14:paraId="44E8D8EC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Overall workforce size</w:t>
      </w:r>
    </w:p>
    <w:p w14:paraId="33D69D4B" w14:textId="77777777" w:rsidR="00E32083" w:rsidRPr="00E32083" w:rsidRDefault="00000000" w:rsidP="00E32083">
      <w:r>
        <w:pict w14:anchorId="2D1B8139">
          <v:rect id="_x0000_i1025" style="width:0;height:1.5pt" o:hralign="center" o:hrstd="t" o:hr="t" fillcolor="#a0a0a0" stroked="f"/>
        </w:pict>
      </w:r>
    </w:p>
    <w:p w14:paraId="4B5D0BA1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Department-wise Headcount</w:t>
      </w:r>
    </w:p>
    <w:p w14:paraId="4B9400F8" w14:textId="77777777" w:rsidR="00E32083" w:rsidRPr="00E32083" w:rsidRDefault="00E32083" w:rsidP="00E32083">
      <w:r w:rsidRPr="00E32083">
        <w:rPr>
          <w:b/>
          <w:bCs/>
        </w:rPr>
        <w:t>Definition:</w:t>
      </w:r>
      <w:r w:rsidRPr="00E32083">
        <w:t xml:space="preserve"> Employees per department</w:t>
      </w:r>
      <w:r w:rsidRPr="00E32083">
        <w:br/>
      </w:r>
      <w:r w:rsidRPr="00E32083">
        <w:rPr>
          <w:b/>
          <w:bCs/>
        </w:rPr>
        <w:t>Formula Logic:</w:t>
      </w:r>
      <w:r w:rsidRPr="00E32083">
        <w:t xml:space="preserve"> COUNTIFS</w:t>
      </w:r>
    </w:p>
    <w:p w14:paraId="07F61000" w14:textId="77777777" w:rsidR="00E32083" w:rsidRPr="00E32083" w:rsidRDefault="00E32083" w:rsidP="00E32083">
      <w:r w:rsidRPr="00E32083">
        <w:t>=COUNTIFS(E:E,"IT")</w:t>
      </w:r>
    </w:p>
    <w:p w14:paraId="05D084AE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Resource allocation across functions</w:t>
      </w:r>
    </w:p>
    <w:p w14:paraId="2B7EAEED" w14:textId="77777777" w:rsidR="00E32083" w:rsidRPr="00E32083" w:rsidRDefault="00000000" w:rsidP="00E32083">
      <w:r>
        <w:pict w14:anchorId="1339236E">
          <v:rect id="_x0000_i1026" style="width:0;height:1.5pt" o:hralign="center" o:hrstd="t" o:hr="t" fillcolor="#a0a0a0" stroked="f"/>
        </w:pict>
      </w:r>
    </w:p>
    <w:p w14:paraId="360977EA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Location-wise Headcount</w:t>
      </w:r>
    </w:p>
    <w:p w14:paraId="244A203B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Regional workforce distribution</w:t>
      </w:r>
    </w:p>
    <w:p w14:paraId="4AC33134" w14:textId="77777777" w:rsidR="00E32083" w:rsidRPr="00E32083" w:rsidRDefault="00000000" w:rsidP="00E32083">
      <w:r>
        <w:pict w14:anchorId="1210DD86">
          <v:rect id="_x0000_i1027" style="width:0;height:1.5pt" o:hralign="center" o:hrstd="t" o:hr="t" fillcolor="#a0a0a0" stroked="f"/>
        </w:pict>
      </w:r>
    </w:p>
    <w:p w14:paraId="3D437374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lastRenderedPageBreak/>
        <w:t>🔹</w:t>
      </w:r>
      <w:r w:rsidRPr="00E32083">
        <w:rPr>
          <w:b/>
          <w:bCs/>
        </w:rPr>
        <w:t xml:space="preserve"> Age Band Distribution</w:t>
      </w:r>
    </w:p>
    <w:p w14:paraId="5FB101A1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Workforce age composition (young vs experienced)</w:t>
      </w:r>
    </w:p>
    <w:p w14:paraId="24986B2F" w14:textId="77777777" w:rsidR="00E32083" w:rsidRPr="00E32083" w:rsidRDefault="00000000" w:rsidP="00E32083">
      <w:r>
        <w:pict w14:anchorId="2C0F17C0">
          <v:rect id="_x0000_i1028" style="width:0;height:1.5pt" o:hralign="center" o:hrstd="t" o:hr="t" fillcolor="#a0a0a0" stroked="f"/>
        </w:pict>
      </w:r>
    </w:p>
    <w:p w14:paraId="0654C0EC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2️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Diversity &amp; Inclusion KPIs</w:t>
      </w:r>
    </w:p>
    <w:p w14:paraId="7C79BED9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Gender Ratio (%)</w:t>
      </w:r>
    </w:p>
    <w:p w14:paraId="659B95F9" w14:textId="77777777" w:rsidR="00E32083" w:rsidRPr="00E32083" w:rsidRDefault="00E32083" w:rsidP="00E32083">
      <w:r w:rsidRPr="00E32083">
        <w:rPr>
          <w:b/>
          <w:bCs/>
        </w:rPr>
        <w:t>Definition:</w:t>
      </w:r>
      <w:r w:rsidRPr="00E32083">
        <w:t xml:space="preserve"> Gender representation</w:t>
      </w:r>
    </w:p>
    <w:p w14:paraId="1CD55723" w14:textId="77777777" w:rsidR="00E32083" w:rsidRPr="00E32083" w:rsidRDefault="00E32083" w:rsidP="00E32083">
      <w:r w:rsidRPr="00E32083">
        <w:t>=COUNTIF(D:D,"Female") / Total Headcount</w:t>
      </w:r>
    </w:p>
    <w:p w14:paraId="3F7C9FD9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Gender diversity balance</w:t>
      </w:r>
    </w:p>
    <w:p w14:paraId="2B0D2246" w14:textId="77777777" w:rsidR="00E32083" w:rsidRPr="00E32083" w:rsidRDefault="00000000" w:rsidP="00E32083">
      <w:r>
        <w:pict w14:anchorId="5A0EF1D2">
          <v:rect id="_x0000_i1029" style="width:0;height:1.5pt" o:hralign="center" o:hrstd="t" o:hr="t" fillcolor="#a0a0a0" stroked="f"/>
        </w:pict>
      </w:r>
    </w:p>
    <w:p w14:paraId="31E8941F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Gender Mix by Department</w:t>
      </w:r>
    </w:p>
    <w:p w14:paraId="4287480C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Department-level diversity gaps</w:t>
      </w:r>
    </w:p>
    <w:p w14:paraId="5AE3C595" w14:textId="77777777" w:rsidR="00E32083" w:rsidRPr="00E32083" w:rsidRDefault="00000000" w:rsidP="00E32083">
      <w:r>
        <w:pict w14:anchorId="0A5FF3A9">
          <v:rect id="_x0000_i1030" style="width:0;height:1.5pt" o:hralign="center" o:hrstd="t" o:hr="t" fillcolor="#a0a0a0" stroked="f"/>
        </w:pict>
      </w:r>
    </w:p>
    <w:p w14:paraId="6F1FBB12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3️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Hiring &amp; Recruitment KPIs</w:t>
      </w:r>
    </w:p>
    <w:p w14:paraId="2F58887E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Hiring Source Effectiveness</w:t>
      </w:r>
    </w:p>
    <w:p w14:paraId="7279136D" w14:textId="77777777" w:rsidR="00E32083" w:rsidRPr="00E32083" w:rsidRDefault="00E32083" w:rsidP="00E32083">
      <w:r w:rsidRPr="00E32083">
        <w:rPr>
          <w:b/>
          <w:bCs/>
        </w:rPr>
        <w:t>Definition:</w:t>
      </w:r>
      <w:r w:rsidRPr="00E32083">
        <w:t xml:space="preserve"> Employees hired per source</w:t>
      </w:r>
    </w:p>
    <w:p w14:paraId="29EB2BA5" w14:textId="77777777" w:rsidR="00E32083" w:rsidRPr="00E32083" w:rsidRDefault="00E32083" w:rsidP="00E32083">
      <w:r w:rsidRPr="00E32083">
        <w:t>=COUNTIFS(F:F,"Job Portal")</w:t>
      </w:r>
    </w:p>
    <w:p w14:paraId="3DF613E9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Most effective recruitment channel </w:t>
      </w:r>
      <w:r w:rsidRPr="00E32083">
        <w:rPr>
          <w:rFonts w:ascii="Segoe UI Emoji" w:hAnsi="Segoe UI Emoji" w:cs="Segoe UI Emoji"/>
        </w:rPr>
        <w:t>🎯</w:t>
      </w:r>
    </w:p>
    <w:p w14:paraId="2466A99D" w14:textId="77777777" w:rsidR="00E32083" w:rsidRPr="00E32083" w:rsidRDefault="00000000" w:rsidP="00E32083">
      <w:r>
        <w:pict w14:anchorId="1E13633A">
          <v:rect id="_x0000_i1031" style="width:0;height:1.5pt" o:hralign="center" o:hrstd="t" o:hr="t" fillcolor="#a0a0a0" stroked="f"/>
        </w:pict>
      </w:r>
    </w:p>
    <w:p w14:paraId="1185A8F4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Average Experience at Joining</w:t>
      </w:r>
    </w:p>
    <w:p w14:paraId="4FAF65F7" w14:textId="77777777" w:rsidR="00E32083" w:rsidRPr="00E32083" w:rsidRDefault="00E32083" w:rsidP="00E32083">
      <w:r w:rsidRPr="00E32083">
        <w:t>=AVERAGE(I:I)</w:t>
      </w:r>
    </w:p>
    <w:p w14:paraId="16E79FF5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Quality of hiring (freshers vs lateral)</w:t>
      </w:r>
    </w:p>
    <w:p w14:paraId="4EF02AB5" w14:textId="77777777" w:rsidR="00E32083" w:rsidRPr="00E32083" w:rsidRDefault="00000000" w:rsidP="00E32083">
      <w:r>
        <w:pict w14:anchorId="68D270D3">
          <v:rect id="_x0000_i1032" style="width:0;height:1.5pt" o:hralign="center" o:hrstd="t" o:hr="t" fillcolor="#a0a0a0" stroked="f"/>
        </w:pict>
      </w:r>
    </w:p>
    <w:p w14:paraId="6EA33E23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Average Age at Joining</w:t>
      </w:r>
    </w:p>
    <w:p w14:paraId="0793C37F" w14:textId="77777777" w:rsidR="00E32083" w:rsidRPr="00E32083" w:rsidRDefault="00E32083" w:rsidP="00E32083">
      <w:r w:rsidRPr="00E32083">
        <w:t>=AVERAGE(C:C)</w:t>
      </w:r>
    </w:p>
    <w:p w14:paraId="4ABF9F80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Hiring strategy orientation</w:t>
      </w:r>
    </w:p>
    <w:p w14:paraId="3456CC77" w14:textId="77777777" w:rsidR="00E32083" w:rsidRPr="00E32083" w:rsidRDefault="00000000" w:rsidP="00E32083">
      <w:r>
        <w:pict w14:anchorId="6C3F36CD">
          <v:rect id="_x0000_i1033" style="width:0;height:1.5pt" o:hralign="center" o:hrstd="t" o:hr="t" fillcolor="#a0a0a0" stroked="f"/>
        </w:pict>
      </w:r>
    </w:p>
    <w:p w14:paraId="00EEB857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Hiring Trend (Year-wise)</w:t>
      </w:r>
    </w:p>
    <w:p w14:paraId="6122A38A" w14:textId="77777777" w:rsidR="00E32083" w:rsidRPr="00E32083" w:rsidRDefault="00E32083" w:rsidP="00E32083">
      <w:r w:rsidRPr="00E32083">
        <w:rPr>
          <w:b/>
          <w:bCs/>
        </w:rPr>
        <w:t>Derived from Date of Joining</w:t>
      </w:r>
      <w:r w:rsidRPr="00E32083">
        <w:br/>
      </w:r>
      <w:r w:rsidRPr="00E32083">
        <w:rPr>
          <w:b/>
          <w:bCs/>
        </w:rPr>
        <w:t>Insight:</w:t>
      </w:r>
      <w:r w:rsidRPr="00E32083">
        <w:t xml:space="preserve"> Growth / slowdown pattern </w:t>
      </w:r>
      <w:r w:rsidRPr="00E32083">
        <w:rPr>
          <w:rFonts w:ascii="Segoe UI Emoji" w:hAnsi="Segoe UI Emoji" w:cs="Segoe UI Emoji"/>
        </w:rPr>
        <w:t>📈</w:t>
      </w:r>
    </w:p>
    <w:p w14:paraId="08E8DF59" w14:textId="77777777" w:rsidR="00E32083" w:rsidRPr="00E32083" w:rsidRDefault="00000000" w:rsidP="00E32083">
      <w:r>
        <w:pict w14:anchorId="502642BE">
          <v:rect id="_x0000_i1034" style="width:0;height:1.5pt" o:hralign="center" o:hrstd="t" o:hr="t" fillcolor="#a0a0a0" stroked="f"/>
        </w:pict>
      </w:r>
    </w:p>
    <w:p w14:paraId="68CCFBB9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lastRenderedPageBreak/>
        <w:t>4️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Experience &amp; Talent KPIs</w:t>
      </w:r>
    </w:p>
    <w:p w14:paraId="1AE1D05C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Average Experience (Years)</w:t>
      </w:r>
    </w:p>
    <w:p w14:paraId="64031F54" w14:textId="77777777" w:rsidR="00E32083" w:rsidRPr="00E32083" w:rsidRDefault="00E32083" w:rsidP="00E32083">
      <w:r w:rsidRPr="00E32083">
        <w:t>=AVERAGE(I:I)</w:t>
      </w:r>
    </w:p>
    <w:p w14:paraId="66D5C569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Overall workforce maturity</w:t>
      </w:r>
    </w:p>
    <w:p w14:paraId="32033C90" w14:textId="77777777" w:rsidR="00E32083" w:rsidRPr="00E32083" w:rsidRDefault="00000000" w:rsidP="00E32083">
      <w:r>
        <w:pict w14:anchorId="66DB5EFE">
          <v:rect id="_x0000_i1035" style="width:0;height:1.5pt" o:hralign="center" o:hrstd="t" o:hr="t" fillcolor="#a0a0a0" stroked="f"/>
        </w:pict>
      </w:r>
    </w:p>
    <w:p w14:paraId="41373DF9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Experience Band Distribution</w:t>
      </w:r>
    </w:p>
    <w:p w14:paraId="7F51553E" w14:textId="77777777" w:rsidR="00E32083" w:rsidRPr="00E32083" w:rsidRDefault="00E32083" w:rsidP="00E32083">
      <w:r w:rsidRPr="00E32083">
        <w:t>(0–2, 2–5, 5–10, 10+)</w:t>
      </w:r>
      <w:r w:rsidRPr="00E32083">
        <w:br/>
      </w:r>
      <w:r w:rsidRPr="00E32083">
        <w:rPr>
          <w:b/>
          <w:bCs/>
        </w:rPr>
        <w:t>Insight:</w:t>
      </w:r>
      <w:r w:rsidRPr="00E32083">
        <w:t xml:space="preserve"> Succession &amp; leadership readiness</w:t>
      </w:r>
    </w:p>
    <w:p w14:paraId="6E4018EB" w14:textId="77777777" w:rsidR="00E32083" w:rsidRPr="00E32083" w:rsidRDefault="00000000" w:rsidP="00E32083">
      <w:r>
        <w:pict w14:anchorId="08D82CAA">
          <v:rect id="_x0000_i1036" style="width:0;height:1.5pt" o:hralign="center" o:hrstd="t" o:hr="t" fillcolor="#a0a0a0" stroked="f"/>
        </w:pict>
      </w:r>
    </w:p>
    <w:p w14:paraId="2C08D0B4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Senior Workforce Ratio (&gt;10 yrs)</w:t>
      </w:r>
    </w:p>
    <w:p w14:paraId="693B616E" w14:textId="77777777" w:rsidR="00E32083" w:rsidRPr="00E32083" w:rsidRDefault="00E32083" w:rsidP="00E32083">
      <w:r w:rsidRPr="00E32083">
        <w:t>=COUNTIF(I:I,"&gt;10") / Total Headcount</w:t>
      </w:r>
    </w:p>
    <w:p w14:paraId="2615A336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Dependency on senior talent</w:t>
      </w:r>
    </w:p>
    <w:p w14:paraId="272317D3" w14:textId="77777777" w:rsidR="00E32083" w:rsidRPr="00E32083" w:rsidRDefault="00000000" w:rsidP="00E32083">
      <w:r>
        <w:pict w14:anchorId="683628EF">
          <v:rect id="_x0000_i1037" style="width:0;height:1.5pt" o:hralign="center" o:hrstd="t" o:hr="t" fillcolor="#a0a0a0" stroked="f"/>
        </w:pict>
      </w:r>
    </w:p>
    <w:p w14:paraId="0855BEE4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5️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Tenure-Based KPIs (Derived)</w:t>
      </w:r>
    </w:p>
    <w:p w14:paraId="5C88DE02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Average Tenure (Years)</w:t>
      </w:r>
    </w:p>
    <w:p w14:paraId="09B9E0E0" w14:textId="77777777" w:rsidR="00E32083" w:rsidRPr="00E32083" w:rsidRDefault="00E32083" w:rsidP="00E32083">
      <w:r w:rsidRPr="00E32083">
        <w:t>=AVERAGE(TODAY()-Date_of_Joining)/365</w:t>
      </w:r>
    </w:p>
    <w:p w14:paraId="3AF4A54D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Retention strength</w:t>
      </w:r>
    </w:p>
    <w:p w14:paraId="56765017" w14:textId="77777777" w:rsidR="00E32083" w:rsidRPr="00E32083" w:rsidRDefault="00000000" w:rsidP="00E32083">
      <w:r>
        <w:pict w14:anchorId="00CD34FD">
          <v:rect id="_x0000_i1038" style="width:0;height:1.5pt" o:hralign="center" o:hrstd="t" o:hr="t" fillcolor="#a0a0a0" stroked="f"/>
        </w:pict>
      </w:r>
    </w:p>
    <w:p w14:paraId="13EB6963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Long-Tenure Employees (&gt;5 years)</w:t>
      </w:r>
    </w:p>
    <w:p w14:paraId="4936A513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Organizational stability</w:t>
      </w:r>
    </w:p>
    <w:p w14:paraId="5067A6E3" w14:textId="77777777" w:rsidR="00E32083" w:rsidRPr="00E32083" w:rsidRDefault="00000000" w:rsidP="00E32083">
      <w:r>
        <w:pict w14:anchorId="5B76916B">
          <v:rect id="_x0000_i1039" style="width:0;height:1.5pt" o:hralign="center" o:hrstd="t" o:hr="t" fillcolor="#a0a0a0" stroked="f"/>
        </w:pict>
      </w:r>
    </w:p>
    <w:p w14:paraId="337A3C44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Recent Joiners (&lt;1 year)</w:t>
      </w:r>
    </w:p>
    <w:p w14:paraId="7366C275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Growth / replacement hiring</w:t>
      </w:r>
    </w:p>
    <w:p w14:paraId="483F06D4" w14:textId="77777777" w:rsidR="00E32083" w:rsidRPr="00E32083" w:rsidRDefault="00000000" w:rsidP="00E32083">
      <w:r>
        <w:pict w14:anchorId="6EB5A8F6">
          <v:rect id="_x0000_i1040" style="width:0;height:1.5pt" o:hralign="center" o:hrstd="t" o:hr="t" fillcolor="#a0a0a0" stroked="f"/>
        </w:pict>
      </w:r>
    </w:p>
    <w:p w14:paraId="34F5C477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6️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Demographic Analytics KPIs</w:t>
      </w:r>
    </w:p>
    <w:p w14:paraId="537ECDB7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Average Age by Department</w:t>
      </w:r>
    </w:p>
    <w:p w14:paraId="42A6C012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Aging vs young teams</w:t>
      </w:r>
    </w:p>
    <w:p w14:paraId="12233D2C" w14:textId="77777777" w:rsidR="00E32083" w:rsidRPr="00E32083" w:rsidRDefault="00000000" w:rsidP="00E32083">
      <w:r>
        <w:pict w14:anchorId="4A1FCAAC">
          <v:rect id="_x0000_i1041" style="width:0;height:1.5pt" o:hralign="center" o:hrstd="t" o:hr="t" fillcolor="#a0a0a0" stroked="f"/>
        </w:pict>
      </w:r>
    </w:p>
    <w:p w14:paraId="6CEE7129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Age vs Experience Correlation</w:t>
      </w:r>
    </w:p>
    <w:p w14:paraId="12782A3C" w14:textId="77777777" w:rsidR="00E32083" w:rsidRPr="00E32083" w:rsidRDefault="00E32083" w:rsidP="00E32083">
      <w:r w:rsidRPr="00E32083">
        <w:rPr>
          <w:b/>
          <w:bCs/>
        </w:rPr>
        <w:t>Insight:</w:t>
      </w:r>
      <w:r w:rsidRPr="00E32083">
        <w:t xml:space="preserve"> Career progression consistency</w:t>
      </w:r>
    </w:p>
    <w:p w14:paraId="26F8E87C" w14:textId="77777777" w:rsidR="00E32083" w:rsidRPr="00E32083" w:rsidRDefault="00000000" w:rsidP="00E32083">
      <w:r>
        <w:lastRenderedPageBreak/>
        <w:pict w14:anchorId="40AEF224">
          <v:rect id="_x0000_i1042" style="width:0;height:1.5pt" o:hralign="center" o:hrstd="t" o:hr="t" fillcolor="#a0a0a0" stroked="f"/>
        </w:pict>
      </w:r>
    </w:p>
    <w:p w14:paraId="35FBA8BA" w14:textId="77777777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7️</w:t>
      </w:r>
      <w:r w:rsidRPr="00E32083">
        <w:rPr>
          <w:rFonts w:ascii="Segoe UI Symbol" w:hAnsi="Segoe UI Symbol" w:cs="Segoe UI Symbol"/>
          <w:b/>
          <w:bCs/>
        </w:rPr>
        <w:t>⃣</w:t>
      </w:r>
      <w:r w:rsidRPr="00E32083">
        <w:rPr>
          <w:b/>
          <w:bCs/>
        </w:rPr>
        <w:t xml:space="preserve"> Strategic HR KPIs (MBA-Oriented)</w:t>
      </w:r>
    </w:p>
    <w:p w14:paraId="1284AC95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Talent Concentration Index</w:t>
      </w:r>
    </w:p>
    <w:p w14:paraId="06DD8EC6" w14:textId="77777777" w:rsidR="00E32083" w:rsidRPr="00E32083" w:rsidRDefault="00E32083" w:rsidP="00E32083">
      <w:r w:rsidRPr="00E32083">
        <w:rPr>
          <w:b/>
          <w:bCs/>
        </w:rPr>
        <w:t>Definition:</w:t>
      </w:r>
      <w:r w:rsidRPr="00E32083">
        <w:t xml:space="preserve"> % of experienced employees in critical departments</w:t>
      </w:r>
      <w:r w:rsidRPr="00E32083">
        <w:br/>
      </w:r>
      <w:r w:rsidRPr="00E32083">
        <w:rPr>
          <w:b/>
          <w:bCs/>
        </w:rPr>
        <w:t>Insight:</w:t>
      </w:r>
      <w:r w:rsidRPr="00E32083">
        <w:t xml:space="preserve"> Risk exposure if attrition happens</w:t>
      </w:r>
    </w:p>
    <w:p w14:paraId="7CBAEFB5" w14:textId="77777777" w:rsidR="00E32083" w:rsidRPr="00E32083" w:rsidRDefault="00000000" w:rsidP="00E32083">
      <w:r>
        <w:pict w14:anchorId="128C17C3">
          <v:rect id="_x0000_i1043" style="width:0;height:1.5pt" o:hralign="center" o:hrstd="t" o:hr="t" fillcolor="#a0a0a0" stroked="f"/>
        </w:pict>
      </w:r>
    </w:p>
    <w:p w14:paraId="2A8AF249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Hiring Source Diversity Index</w:t>
      </w:r>
    </w:p>
    <w:p w14:paraId="2F7D93FE" w14:textId="77777777" w:rsidR="00E32083" w:rsidRPr="00E32083" w:rsidRDefault="00E32083" w:rsidP="00E32083">
      <w:r w:rsidRPr="00E32083">
        <w:rPr>
          <w:b/>
          <w:bCs/>
        </w:rPr>
        <w:t>Definition:</w:t>
      </w:r>
      <w:r w:rsidRPr="00E32083">
        <w:t xml:space="preserve"> Dependency on limited sources</w:t>
      </w:r>
      <w:r w:rsidRPr="00E32083">
        <w:br/>
      </w:r>
      <w:r w:rsidRPr="00E32083">
        <w:rPr>
          <w:b/>
          <w:bCs/>
        </w:rPr>
        <w:t>Insight:</w:t>
      </w:r>
      <w:r w:rsidRPr="00E32083">
        <w:t xml:space="preserve"> Recruitment risk </w:t>
      </w:r>
      <w:r w:rsidRPr="00E32083">
        <w:rPr>
          <w:rFonts w:ascii="Segoe UI Emoji" w:hAnsi="Segoe UI Emoji" w:cs="Segoe UI Emoji"/>
        </w:rPr>
        <w:t>⚠️</w:t>
      </w:r>
    </w:p>
    <w:p w14:paraId="7FA336F5" w14:textId="77777777" w:rsidR="00E32083" w:rsidRPr="00E32083" w:rsidRDefault="00000000" w:rsidP="00E32083">
      <w:r>
        <w:pict w14:anchorId="23784EA9">
          <v:rect id="_x0000_i1044" style="width:0;height:1.5pt" o:hralign="center" o:hrstd="t" o:hr="t" fillcolor="#a0a0a0" stroked="f"/>
        </w:pict>
      </w:r>
    </w:p>
    <w:p w14:paraId="33806458" w14:textId="77777777" w:rsidR="00E32083" w:rsidRPr="00E32083" w:rsidRDefault="00E32083" w:rsidP="00E32083">
      <w:pPr>
        <w:rPr>
          <w:b/>
          <w:bCs/>
        </w:rPr>
      </w:pPr>
      <w:r w:rsidRPr="00E32083">
        <w:rPr>
          <w:rFonts w:ascii="Segoe UI Emoji" w:hAnsi="Segoe UI Emoji" w:cs="Segoe UI Emoji"/>
          <w:b/>
          <w:bCs/>
        </w:rPr>
        <w:t>🔹</w:t>
      </w:r>
      <w:r w:rsidRPr="00E32083">
        <w:rPr>
          <w:b/>
          <w:bCs/>
        </w:rPr>
        <w:t xml:space="preserve"> Workforce Mobility Indicator</w:t>
      </w:r>
    </w:p>
    <w:p w14:paraId="5F9649E0" w14:textId="77777777" w:rsidR="00E32083" w:rsidRPr="00E32083" w:rsidRDefault="00E32083" w:rsidP="00E32083">
      <w:r w:rsidRPr="00E32083">
        <w:t>(Location × Department)</w:t>
      </w:r>
      <w:r w:rsidRPr="00E32083">
        <w:br/>
      </w:r>
      <w:r w:rsidRPr="00E32083">
        <w:rPr>
          <w:b/>
          <w:bCs/>
        </w:rPr>
        <w:t>Insight:</w:t>
      </w:r>
      <w:r w:rsidRPr="00E32083">
        <w:t xml:space="preserve"> Location-specific hiring dependence</w:t>
      </w:r>
    </w:p>
    <w:p w14:paraId="239D0246" w14:textId="77777777" w:rsidR="00E32083" w:rsidRPr="00E32083" w:rsidRDefault="00000000" w:rsidP="00E32083">
      <w:r>
        <w:pict w14:anchorId="596E736C">
          <v:rect id="_x0000_i1045" style="width:0;height:1.5pt" o:hralign="center" o:hrstd="t" o:hr="t" fillcolor="#a0a0a0" stroked="f"/>
        </w:pict>
      </w:r>
    </w:p>
    <w:p w14:paraId="596D007C" w14:textId="3AE14DE8" w:rsidR="00E32083" w:rsidRPr="00E32083" w:rsidRDefault="00E32083" w:rsidP="00E32083">
      <w:pPr>
        <w:rPr>
          <w:b/>
          <w:bCs/>
        </w:rPr>
      </w:pPr>
      <w:r w:rsidRPr="00E32083">
        <w:rPr>
          <w:b/>
          <w:bCs/>
        </w:rPr>
        <w:t>Recommended KPI Tiles (Top Dashboard)</w:t>
      </w:r>
    </w:p>
    <w:p w14:paraId="45B872B5" w14:textId="77777777" w:rsidR="00E32083" w:rsidRPr="00E32083" w:rsidRDefault="00E32083" w:rsidP="00E32083">
      <w:r w:rsidRPr="00E32083">
        <w:rPr>
          <w:rFonts w:ascii="Segoe UI Symbol" w:hAnsi="Segoe UI Symbol" w:cs="Segoe UI Symbol"/>
        </w:rPr>
        <w:t>✔</w:t>
      </w:r>
      <w:r w:rsidRPr="00E32083">
        <w:t xml:space="preserve"> Total Headcount</w:t>
      </w:r>
      <w:r w:rsidRPr="00E32083">
        <w:br/>
      </w:r>
      <w:r w:rsidRPr="00E32083">
        <w:rPr>
          <w:rFonts w:ascii="Segoe UI Symbol" w:hAnsi="Segoe UI Symbol" w:cs="Segoe UI Symbol"/>
        </w:rPr>
        <w:t>✔</w:t>
      </w:r>
      <w:r w:rsidRPr="00E32083">
        <w:t xml:space="preserve"> Avg Age</w:t>
      </w:r>
      <w:r w:rsidRPr="00E32083">
        <w:br/>
      </w:r>
      <w:r w:rsidRPr="00E32083">
        <w:rPr>
          <w:rFonts w:ascii="Segoe UI Symbol" w:hAnsi="Segoe UI Symbol" w:cs="Segoe UI Symbol"/>
        </w:rPr>
        <w:t>✔</w:t>
      </w:r>
      <w:r w:rsidRPr="00E32083">
        <w:t xml:space="preserve"> Avg Experience</w:t>
      </w:r>
      <w:r w:rsidRPr="00E32083">
        <w:br/>
      </w:r>
      <w:r w:rsidRPr="00E32083">
        <w:rPr>
          <w:rFonts w:ascii="Segoe UI Symbol" w:hAnsi="Segoe UI Symbol" w:cs="Segoe UI Symbol"/>
        </w:rPr>
        <w:t>✔</w:t>
      </w:r>
      <w:r w:rsidRPr="00E32083">
        <w:t xml:space="preserve"> % Female Employees</w:t>
      </w:r>
      <w:r w:rsidRPr="00E32083">
        <w:br/>
      </w:r>
      <w:r w:rsidRPr="00E32083">
        <w:rPr>
          <w:rFonts w:ascii="Segoe UI Symbol" w:hAnsi="Segoe UI Symbol" w:cs="Segoe UI Symbol"/>
        </w:rPr>
        <w:t>✔</w:t>
      </w:r>
      <w:r w:rsidRPr="00E32083">
        <w:t xml:space="preserve"> Top Hiring Source</w:t>
      </w:r>
      <w:r w:rsidRPr="00E32083">
        <w:br/>
      </w:r>
      <w:r w:rsidRPr="00E32083">
        <w:rPr>
          <w:rFonts w:ascii="Segoe UI Symbol" w:hAnsi="Segoe UI Symbol" w:cs="Segoe UI Symbol"/>
        </w:rPr>
        <w:t>✔</w:t>
      </w:r>
      <w:r w:rsidRPr="00E32083">
        <w:t xml:space="preserve"> Avg Tenure</w:t>
      </w:r>
    </w:p>
    <w:p w14:paraId="3214E113" w14:textId="77777777" w:rsidR="00E32083" w:rsidRDefault="00E32083"/>
    <w:sectPr w:rsidR="00E32083" w:rsidSect="00E84C1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B56F6"/>
    <w:multiLevelType w:val="hybridMultilevel"/>
    <w:tmpl w:val="D4AEBF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7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2083"/>
    <w:rsid w:val="00456D5A"/>
    <w:rsid w:val="005B4D66"/>
    <w:rsid w:val="00606438"/>
    <w:rsid w:val="00753940"/>
    <w:rsid w:val="007778E7"/>
    <w:rsid w:val="00E32083"/>
    <w:rsid w:val="00E84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A1D87"/>
  <w15:chartTrackingRefBased/>
  <w15:docId w15:val="{43CCA8BB-1E5F-4903-8A82-716528F1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2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2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20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20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20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20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20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20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20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20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20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20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20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20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20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20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20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20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20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20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20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20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20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20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20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20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20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20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20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373</Words>
  <Characters>2129</Characters>
  <Application>Microsoft Office Word</Application>
  <DocSecurity>0</DocSecurity>
  <Lines>17</Lines>
  <Paragraphs>4</Paragraphs>
  <ScaleCrop>false</ScaleCrop>
  <Company/>
  <LinksUpToDate>false</LinksUpToDate>
  <CharactersWithSpaces>2498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Vellingiri N</dc:creator>
  <cp:keywords/>
  <dc:description/>
  <cp:lastModifiedBy>Vellingiri N</cp:lastModifiedBy>
  <cp:revision>6</cp:revision>
  <cp:lastPrinted>2026-02-10T09:25:00Z</cp:lastPrinted>
  <dcterms:created xsi:type="dcterms:W3CDTF">2026-02-10T09:05:00Z</dcterms:created>
  <dcterms:modified xsi:type="dcterms:W3CDTF">2026-02-10T09:27:00Z</dcterms:modified>
</cp:coreProperties>
</file>