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pPr>
        <w:pStyle w:val="Heading2"/>
      </w:pPr>
      <w:r>
        <w:t>Исходные данные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Вводимые переменные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Весовой коэффициент P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Модифицируемые переменные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Весовой коэффициент M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Переменные, уч. в управлении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Весовой коэффициент С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Не используемые переменные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Весовой коэффициент 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>
      <w:pPr>
        <w:pStyle w:val="Heading2"/>
      </w:pPr>
      <w:r>
        <w:t>Рассчитываемые параметры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Метрика Чепина</w:t>
            </w:r>
          </w:p>
        </w:tc>
        <w:tc>
          <w:tcPr>
            <w:tcW w:type="dxa" w:w="4320"/>
          </w:tcPr>
          <w:p>
            <w:r>
              <w:t>1123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