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Отчёт</w:t>
      </w:r>
    </w:p>
    <w:p>
      <w:pPr>
        <w:pStyle w:val="Heading2"/>
      </w:pPr>
      <w:r>
        <w:t>Исходные данные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Вводимые переменные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Весовой коэффициент P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Модифицируемые переменные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Весовой коэффициент M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Переменные, уч. в управлении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Весовой коэффициент С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Не используемые переменные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Весовой коэффициент 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</w:pPr>
      <w:r>
        <w:t>Рассчитываемые параметры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Метрика Чепина</w:t>
            </w:r>
          </w:p>
        </w:tc>
        <w:tc>
          <w:tcPr>
            <w:tcW w:type="dxa" w:w="4320"/>
          </w:tcPr>
          <w:p>
            <w:r>
              <w:t>400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