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pPr>
        <w:pStyle w:val="Heading2"/>
      </w:pPr>
      <w:r>
        <w:t>Исходные данные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Число простых операторов n1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Число простых операндов n2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Общее число всех операторов N1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Общее число всех операндов N2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Входные/выходные переменные 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Рассчитываемые параметры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Словарь 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Длинна реализации программы 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Длинна программы</w:t>
            </w:r>
          </w:p>
        </w:tc>
        <w:tc>
          <w:tcPr>
            <w:tcW w:type="dxa" w:w="4320"/>
          </w:tcPr>
          <w:p>
            <w:r>
              <w:t>66.43856189774725</w:t>
            </w:r>
          </w:p>
        </w:tc>
      </w:tr>
      <w:tr>
        <w:tc>
          <w:tcPr>
            <w:tcW w:type="dxa" w:w="4320"/>
          </w:tcPr>
          <w:p>
            <w:r>
              <w:t>Объём программы</w:t>
            </w:r>
          </w:p>
        </w:tc>
        <w:tc>
          <w:tcPr>
            <w:tcW w:type="dxa" w:w="4320"/>
          </w:tcPr>
          <w:p>
            <w:r>
              <w:t>86.43856189774725</w:t>
            </w:r>
          </w:p>
        </w:tc>
      </w:tr>
      <w:tr>
        <w:tc>
          <w:tcPr>
            <w:tcW w:type="dxa" w:w="4320"/>
          </w:tcPr>
          <w:p>
            <w:r>
              <w:t>Потенциальный объём программы</w:t>
            </w:r>
          </w:p>
        </w:tc>
        <w:tc>
          <w:tcPr>
            <w:tcW w:type="dxa" w:w="4320"/>
          </w:tcPr>
          <w:p>
            <w:r>
              <w:t>43.01955000865387</w:t>
            </w:r>
          </w:p>
        </w:tc>
      </w:tr>
      <w:tr>
        <w:tc>
          <w:tcPr>
            <w:tcW w:type="dxa" w:w="4320"/>
          </w:tcPr>
          <w:p>
            <w:r>
              <w:t>Уровень качества программы</w:t>
            </w:r>
          </w:p>
        </w:tc>
        <w:tc>
          <w:tcPr>
            <w:tcW w:type="dxa" w:w="4320"/>
          </w:tcPr>
          <w:p>
            <w:r>
              <w:t>0.49768933059696174</w:t>
            </w:r>
          </w:p>
        </w:tc>
      </w:tr>
      <w:tr>
        <w:tc>
          <w:tcPr>
            <w:tcW w:type="dxa" w:w="4320"/>
          </w:tcPr>
          <w:p>
            <w:r>
              <w:t>Уровень языка</w:t>
            </w:r>
          </w:p>
        </w:tc>
        <w:tc>
          <w:tcPr>
            <w:tcW w:type="dxa" w:w="4320"/>
          </w:tcPr>
          <w:p>
            <w:r>
              <w:t>21.410371046389464</w:t>
            </w:r>
          </w:p>
        </w:tc>
      </w:tr>
      <w:tr>
        <w:tc>
          <w:tcPr>
            <w:tcW w:type="dxa" w:w="4320"/>
          </w:tcPr>
          <w:p>
            <w:r>
              <w:t>Интеллектуальное содержание</w:t>
            </w:r>
          </w:p>
        </w:tc>
        <w:tc>
          <w:tcPr>
            <w:tcW w:type="dxa" w:w="4320"/>
          </w:tcPr>
          <w:p>
            <w:r>
              <w:t>43.01955000865387</w:t>
            </w:r>
          </w:p>
        </w:tc>
      </w:tr>
      <w:tr>
        <w:tc>
          <w:tcPr>
            <w:tcW w:type="dxa" w:w="4320"/>
          </w:tcPr>
          <w:p>
            <w:r>
              <w:t>Работа по программированию</w:t>
            </w:r>
          </w:p>
        </w:tc>
        <w:tc>
          <w:tcPr>
            <w:tcW w:type="dxa" w:w="4320"/>
          </w:tcPr>
          <w:p>
            <w:r>
              <w:t>173.67975679540302</w:t>
            </w:r>
          </w:p>
        </w:tc>
      </w:tr>
      <w:tr>
        <w:tc>
          <w:tcPr>
            <w:tcW w:type="dxa" w:w="4320"/>
          </w:tcPr>
          <w:p>
            <w:r>
              <w:t>Уровень качества программирования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Сложность понимания программы</w:t>
            </w:r>
          </w:p>
        </w:tc>
        <w:tc>
          <w:tcPr>
            <w:tcW w:type="dxa" w:w="4320"/>
          </w:tcPr>
          <w:p>
            <w:r>
              <w:t>432.1928094887362</w:t>
            </w:r>
          </w:p>
        </w:tc>
      </w:tr>
      <w:tr>
        <w:tc>
          <w:tcPr>
            <w:tcW w:type="dxa" w:w="4320"/>
          </w:tcPr>
          <w:p>
            <w:r>
              <w:t>Трудоёмкость кодирования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Уровень языкового выражения</w:t>
            </w:r>
          </w:p>
        </w:tc>
        <w:tc>
          <w:tcPr>
            <w:tcW w:type="dxa" w:w="4320"/>
          </w:tcPr>
          <w:p>
            <w:r>
              <w:t>3.45754247590989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