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line="240" w:lineRule="auto"/>
        <w:jc w:val="center"/>
      </w:pPr>
      <w:r>
        <w:rPr>
          <w:rFonts w:ascii="Times New Roman" w:hAnsi="Times New Roman" w:eastAsia="Times New Roman"/>
          <w:b/>
          <w:i w:val="0"/>
          <w:color w:val="000000"/>
          <w:sz w:val="32"/>
        </w:rPr>
        <w:t>DataPilot AI: A Domain-Specific Conversational Copilot for Business Intelligence and Data Engineering Using RAG and Parameter-Efficient Fine-Tuning</w:t>
      </w:r>
    </w:p>
    <w:p>
      <w:pPr>
        <w:spacing w:after="80" w:before="0" w:line="240" w:lineRule="auto"/>
        <w:jc w:val="center"/>
      </w:pPr>
      <w:r>
        <w:rPr>
          <w:rFonts w:ascii="Times New Roman" w:hAnsi="Times New Roman" w:eastAsia="Times New Roman"/>
          <w:b w:val="0"/>
          <w:i/>
          <w:color w:val="000000"/>
          <w:sz w:val="24"/>
        </w:rPr>
        <w:t xml:space="preserve">Author: [Your Name]  </w:t>
      </w:r>
    </w:p>
    <w:p>
      <w:pPr>
        <w:spacing w:after="80" w:before="0" w:line="240" w:lineRule="auto"/>
        <w:jc w:val="center"/>
      </w:pPr>
      <w:r>
        <w:rPr>
          <w:rFonts w:ascii="Times New Roman" w:hAnsi="Times New Roman" w:eastAsia="Times New Roman"/>
          <w:b w:val="0"/>
          <w:i/>
          <w:color w:val="000000"/>
          <w:sz w:val="24"/>
        </w:rPr>
        <w:t>Master's in CS: Artificial Intelligence and Machine Learning, Woolf University</w:t>
      </w:r>
    </w:p>
    <w:p>
      <w:pPr>
        <w:spacing w:after="160" w:before="320" w:line="240" w:lineRule="auto"/>
      </w:pPr>
      <w:r>
        <w:rPr>
          <w:rFonts w:ascii="Times New Roman" w:hAnsi="Times New Roman" w:eastAsia="Times New Roman"/>
          <w:b/>
          <w:i w:val="0"/>
          <w:color w:val="000000"/>
          <w:sz w:val="28"/>
        </w:rPr>
        <w:t>Abstract</w:t>
      </w:r>
    </w:p>
    <w:p>
      <w:pPr>
        <w:spacing w:after="160" w:before="0" w:line="240" w:lineRule="auto"/>
      </w:pPr>
      <w:r>
        <w:rPr>
          <w:rFonts w:ascii="Times New Roman" w:hAnsi="Times New Roman" w:eastAsia="Times New Roman"/>
          <w:b w:val="0"/>
          <w:i w:val="0"/>
          <w:color w:val="000000"/>
          <w:sz w:val="24"/>
        </w:rPr>
        <w:t>Generic instruction-tuned language models are fluent on Business Intelligence (BI) and Data Engineering (DE) topics but routinely invent product behaviour, omit operational constraints, or fail to cite sources. This paper presents DataPilot AI, a non-agentic industry chatbot that combines retrieval-augmented generation (RAG) over curated official documentation with parameter-efficient fine-tuning of a small open-source model. The system is implemented under Google Colab Tesla T4 constraints. The locked model is Qwen2.5-1.5B-Instruct. Four-bit QLoRA was planned; Colab’s PyTorch 2.11 / CUDA 12.8 environment had no working bitsandbytes GPU wheel, so LoRA in fp16 was used (peak allocated memory 4.56 GiB; training wall-clock 977 s; best validation loss 0.595). Three systems were compared on a held-out set of 100 questions isolated from training: (A) base LLM, (B) RAG only, (C) LoRA adapter plus RAG. Automatic lexical proxies—not human grades—show a small RAG gain in expected-answer-point coverage (0.470 to 0.510) at higher latency. Fine-tuned RAG lowered point coverage (0.430) but raised token F1 (0.333 versus 0.134) and ROUGE-L (0.282 versus 0.108). Retrieval relevance at top-k=5 was 0.733 in-domain, with Analytics the weakest category (0.400). The study concludes that, at this compute budget, corpus coverage and RAG dominate adapter training for checklist-style factual support, while LoRA mainly shifts style, brevity, and refusal formatting.</w:t>
      </w:r>
    </w:p>
    <w:p>
      <w:pPr>
        <w:spacing w:after="160" w:before="320" w:line="240" w:lineRule="auto"/>
      </w:pPr>
      <w:r>
        <w:rPr>
          <w:rFonts w:ascii="Times New Roman" w:hAnsi="Times New Roman" w:eastAsia="Times New Roman"/>
          <w:b/>
          <w:i w:val="0"/>
          <w:color w:val="000000"/>
          <w:sz w:val="28"/>
        </w:rPr>
        <w:t>Index Terms</w:t>
      </w:r>
    </w:p>
    <w:p>
      <w:pPr>
        <w:spacing w:after="160" w:before="0" w:line="240" w:lineRule="auto"/>
      </w:pPr>
      <w:r>
        <w:rPr>
          <w:rFonts w:ascii="Times New Roman" w:hAnsi="Times New Roman" w:eastAsia="Times New Roman"/>
          <w:b w:val="0"/>
          <w:i w:val="0"/>
          <w:color w:val="000000"/>
          <w:sz w:val="24"/>
        </w:rPr>
        <w:t>Retrieval-augmented generation, LoRA, domain adaptation, business intelligence, data engineering, conversational AI, evaluation, Hugging Face, FAISS.</w:t>
      </w:r>
    </w:p>
    <w:p>
      <w:pPr>
        <w:spacing w:after="160" w:before="320" w:line="240" w:lineRule="auto"/>
      </w:pPr>
      <w:r>
        <w:rPr>
          <w:rFonts w:ascii="Times New Roman" w:hAnsi="Times New Roman" w:eastAsia="Times New Roman"/>
          <w:b/>
          <w:i w:val="0"/>
          <w:color w:val="000000"/>
          <w:sz w:val="28"/>
        </w:rPr>
        <w:t>I. Introduction</w:t>
      </w:r>
    </w:p>
    <w:p>
      <w:pPr>
        <w:spacing w:after="120" w:before="240" w:line="240" w:lineRule="auto"/>
      </w:pPr>
      <w:r>
        <w:rPr>
          <w:rFonts w:ascii="Times New Roman" w:hAnsi="Times New Roman" w:eastAsia="Times New Roman"/>
          <w:b/>
          <w:i w:val="0"/>
          <w:color w:val="000000"/>
          <w:sz w:val="26"/>
        </w:rPr>
        <w:t>I.1 Background and Motivation</w:t>
      </w:r>
    </w:p>
    <w:p>
      <w:pPr>
        <w:spacing w:after="160" w:before="0" w:line="240" w:lineRule="auto"/>
      </w:pPr>
      <w:r>
        <w:rPr>
          <w:rFonts w:ascii="Times New Roman" w:hAnsi="Times New Roman" w:eastAsia="Times New Roman"/>
          <w:b w:val="0"/>
          <w:i w:val="0"/>
          <w:color w:val="000000"/>
          <w:sz w:val="24"/>
        </w:rPr>
        <w:t>BI developers, data engineers, and analysts continuously consult fragmented official documentation: PostgreSQL SQL, Amazon Redshift physical design, Apache Airflow orchestration, dbt transformations, and dashboard platforms such as Power BI and Apache Superset. Search engines and generic chatbots compress that landscape into a single dialogue. Fluency is cheap; attributable, in-scope answers are not. A hallucinated DISTKEY rule or an invented DAX function wastes engineering time and undermines trust.</w:t>
      </w:r>
    </w:p>
    <w:p>
      <w:pPr>
        <w:spacing w:after="160" w:before="0" w:line="240" w:lineRule="auto"/>
      </w:pPr>
      <w:r>
        <w:rPr>
          <w:rFonts w:ascii="Times New Roman" w:hAnsi="Times New Roman" w:eastAsia="Times New Roman"/>
          <w:b w:val="0"/>
          <w:i w:val="0"/>
          <w:color w:val="000000"/>
          <w:sz w:val="24"/>
        </w:rPr>
        <w:t>This paper extends prior Deep Learning for NLP work on sequence models and automatic evaluation into a complete industry chatbot: curated data, preprocessing, embeddings, RAG, LoRA, a Streamlit interface, and executed experiments. The artefact is the DataPilot AI repository, with configs, logs, and metrics preserved for assessment.</w:t>
      </w:r>
    </w:p>
    <w:p>
      <w:pPr>
        <w:spacing w:after="120" w:before="240" w:line="240" w:lineRule="auto"/>
      </w:pPr>
      <w:r>
        <w:rPr>
          <w:rFonts w:ascii="Times New Roman" w:hAnsi="Times New Roman" w:eastAsia="Times New Roman"/>
          <w:b/>
          <w:i w:val="0"/>
          <w:color w:val="000000"/>
          <w:sz w:val="26"/>
        </w:rPr>
        <w:t>I.2 Research Problem</w:t>
      </w:r>
    </w:p>
    <w:p>
      <w:pPr>
        <w:spacing w:after="160" w:before="0" w:line="240" w:lineRule="auto"/>
      </w:pPr>
      <w:r>
        <w:rPr>
          <w:rFonts w:ascii="Times New Roman" w:hAnsi="Times New Roman" w:eastAsia="Times New Roman"/>
          <w:b w:val="0"/>
          <w:i w:val="0"/>
          <w:color w:val="000000"/>
          <w:sz w:val="24"/>
        </w:rPr>
        <w:t>The research problem is whether a domain-specific copilot, grounded in official BI/DE documentation and optionally adapted with LoRA, can improve support quality over the same generic instruction-tuned checkpoint without retrieval.</w:t>
      </w:r>
    </w:p>
    <w:p>
      <w:pPr>
        <w:spacing w:after="160" w:before="0" w:line="240" w:lineRule="auto"/>
      </w:pPr>
      <w:r>
        <w:rPr>
          <w:rFonts w:ascii="Times New Roman" w:hAnsi="Times New Roman" w:eastAsia="Times New Roman"/>
          <w:b w:val="0"/>
          <w:i w:val="0"/>
          <w:color w:val="000000"/>
          <w:sz w:val="24"/>
        </w:rPr>
        <w:t>Research question. Can a domain-specific AI copilot built using a Hugging Face LLM and RAG improve the accuracy and contextual relevance of BI and DE support compared with a generic conversational model under the same base checkpoint?</w:t>
      </w:r>
    </w:p>
    <w:p>
      <w:pPr>
        <w:spacing w:after="160" w:before="0" w:line="240" w:lineRule="auto"/>
      </w:pPr>
      <w:r>
        <w:rPr>
          <w:rFonts w:ascii="Times New Roman" w:hAnsi="Times New Roman" w:eastAsia="Times New Roman"/>
          <w:b w:val="0"/>
          <w:i w:val="0"/>
          <w:color w:val="000000"/>
          <w:sz w:val="24"/>
        </w:rPr>
        <w:t>Working hypothesis. RAG over curated official documentation will raise coverage of expected domain points relative to the base LLM; domain LoRA will further change response style. Gains must be measured on held-out questions that never enter the training split.</w:t>
      </w:r>
    </w:p>
    <w:p>
      <w:pPr>
        <w:spacing w:after="160" w:before="0" w:line="240" w:lineRule="auto"/>
      </w:pPr>
      <w:r>
        <w:rPr>
          <w:rFonts w:ascii="Times New Roman" w:hAnsi="Times New Roman" w:eastAsia="Times New Roman"/>
          <w:b w:val="0"/>
          <w:i w:val="0"/>
          <w:color w:val="000000"/>
          <w:sz w:val="24"/>
        </w:rPr>
        <w:t>V1 is deliberately non-agentic: no live SQL execution, no warehouse credentials, no multi-agent orchestration, and no automated dashboard modification.</w:t>
      </w:r>
    </w:p>
    <w:p>
      <w:pPr>
        <w:spacing w:after="120" w:before="240" w:line="240" w:lineRule="auto"/>
      </w:pPr>
      <w:r>
        <w:rPr>
          <w:rFonts w:ascii="Times New Roman" w:hAnsi="Times New Roman" w:eastAsia="Times New Roman"/>
          <w:b/>
          <w:i w:val="0"/>
          <w:color w:val="000000"/>
          <w:sz w:val="26"/>
        </w:rPr>
        <w:t>I.3 Research Objectives</w:t>
      </w:r>
    </w:p>
    <w:p>
      <w:pPr>
        <w:pStyle w:val="ListBullet"/>
        <w:spacing w:after="80"/>
      </w:pPr>
      <w:r>
        <w:rPr>
          <w:rFonts w:ascii="Times New Roman" w:hAnsi="Times New Roman" w:eastAsia="Times New Roman"/>
          <w:b w:val="0"/>
          <w:i w:val="0"/>
          <w:color w:val="000000"/>
          <w:sz w:val="24"/>
        </w:rPr>
        <w:t xml:space="preserve">Curate and collect an attributable documentation corpus (Dataset A) rather than scraping entire websites.  </w:t>
      </w:r>
    </w:p>
    <w:p>
      <w:pPr>
        <w:pStyle w:val="ListBullet"/>
        <w:spacing w:after="80"/>
      </w:pPr>
      <w:r>
        <w:rPr>
          <w:rFonts w:ascii="Times New Roman" w:hAnsi="Times New Roman" w:eastAsia="Times New Roman"/>
          <w:b w:val="0"/>
          <w:i w:val="0"/>
          <w:color w:val="000000"/>
          <w:sz w:val="24"/>
        </w:rPr>
        <w:t xml:space="preserve">Preprocess, chunk, embed, and index that corpus with FAISS.  </w:t>
      </w:r>
    </w:p>
    <w:p>
      <w:pPr>
        <w:pStyle w:val="ListBullet"/>
        <w:spacing w:after="80"/>
      </w:pPr>
      <w:r>
        <w:rPr>
          <w:rFonts w:ascii="Times New Roman" w:hAnsi="Times New Roman" w:eastAsia="Times New Roman"/>
          <w:b w:val="0"/>
          <w:i w:val="0"/>
          <w:color w:val="000000"/>
          <w:sz w:val="24"/>
        </w:rPr>
        <w:t xml:space="preserve">Prepare an isolated instruction set (Dataset B) and a held-out evaluation set (Dataset C).  </w:t>
      </w:r>
    </w:p>
    <w:p>
      <w:pPr>
        <w:pStyle w:val="ListBullet"/>
        <w:spacing w:after="80"/>
      </w:pPr>
      <w:r>
        <w:rPr>
          <w:rFonts w:ascii="Times New Roman" w:hAnsi="Times New Roman" w:eastAsia="Times New Roman"/>
          <w:b w:val="0"/>
          <w:i w:val="0"/>
          <w:color w:val="000000"/>
          <w:sz w:val="24"/>
        </w:rPr>
        <w:t xml:space="preserve">Fine-tune one Colab T4–feasible instruct model with PEFT and record real training metrics.  </w:t>
      </w:r>
    </w:p>
    <w:p>
      <w:pPr>
        <w:pStyle w:val="ListBullet"/>
        <w:spacing w:after="80"/>
      </w:pPr>
      <w:r>
        <w:rPr>
          <w:rFonts w:ascii="Times New Roman" w:hAnsi="Times New Roman" w:eastAsia="Times New Roman"/>
          <w:b w:val="0"/>
          <w:i w:val="0"/>
          <w:color w:val="000000"/>
          <w:sz w:val="24"/>
        </w:rPr>
        <w:t xml:space="preserve">Compare Systems A, B, and C with automatic metrics and document limitations honestly (including the fp16 versus QLoRA compute outcome).  </w:t>
      </w:r>
    </w:p>
    <w:p>
      <w:pPr>
        <w:pStyle w:val="ListBullet"/>
        <w:spacing w:after="80"/>
      </w:pPr>
      <w:r>
        <w:rPr>
          <w:rFonts w:ascii="Times New Roman" w:hAnsi="Times New Roman" w:eastAsia="Times New Roman"/>
          <w:b w:val="0"/>
          <w:i w:val="0"/>
          <w:color w:val="000000"/>
          <w:sz w:val="24"/>
        </w:rPr>
        <w:t>Deliver a Streamlit demonstration and Colab notebooks for academic reproducibility.</w:t>
      </w:r>
    </w:p>
    <w:p>
      <w:pPr>
        <w:spacing w:after="160" w:before="320" w:line="240" w:lineRule="auto"/>
      </w:pPr>
      <w:r>
        <w:rPr>
          <w:rFonts w:ascii="Times New Roman" w:hAnsi="Times New Roman" w:eastAsia="Times New Roman"/>
          <w:b/>
          <w:i w:val="0"/>
          <w:color w:val="000000"/>
          <w:sz w:val="28"/>
        </w:rPr>
        <w:t>II. Industry Analysis</w:t>
      </w:r>
    </w:p>
    <w:p>
      <w:pPr>
        <w:spacing w:after="120" w:before="240" w:line="240" w:lineRule="auto"/>
      </w:pPr>
      <w:r>
        <w:rPr>
          <w:rFonts w:ascii="Times New Roman" w:hAnsi="Times New Roman" w:eastAsia="Times New Roman"/>
          <w:b/>
          <w:i w:val="0"/>
          <w:color w:val="000000"/>
          <w:sz w:val="26"/>
        </w:rPr>
        <w:t>II.1 Overview of the IT Support Landscape</w:t>
      </w:r>
    </w:p>
    <w:p>
      <w:pPr>
        <w:spacing w:after="160" w:before="0" w:line="240" w:lineRule="auto"/>
      </w:pPr>
      <w:r>
        <w:rPr>
          <w:rFonts w:ascii="Times New Roman" w:hAnsi="Times New Roman" w:eastAsia="Times New Roman"/>
          <w:b w:val="0"/>
          <w:i w:val="0"/>
          <w:color w:val="000000"/>
          <w:sz w:val="24"/>
        </w:rPr>
        <w:t>Within technology organisations, “IT support” for data teams is often unofficial: Slack questions, wiki pages, and vendor documentation. Tickets mix syntax debugging (JOIN duplicates), warehouse tuning (SORTKEY), pipeline failures (Airflow retries), and dashboard design. Unlike password-reset ITSM workflows, BI/DE questions are knowledge-intensive and vendor-specific.</w:t>
      </w:r>
    </w:p>
    <w:p>
      <w:pPr>
        <w:spacing w:after="120" w:before="240" w:line="240" w:lineRule="auto"/>
      </w:pPr>
      <w:r>
        <w:rPr>
          <w:rFonts w:ascii="Times New Roman" w:hAnsi="Times New Roman" w:eastAsia="Times New Roman"/>
          <w:b/>
          <w:i w:val="0"/>
          <w:color w:val="000000"/>
          <w:sz w:val="26"/>
        </w:rPr>
        <w:t>II.2 Support Structure and Challenges</w:t>
      </w:r>
    </w:p>
    <w:p>
      <w:pPr>
        <w:spacing w:after="160" w:before="0" w:line="240" w:lineRule="auto"/>
      </w:pPr>
      <w:r>
        <w:rPr>
          <w:rFonts w:ascii="Times New Roman" w:hAnsi="Times New Roman" w:eastAsia="Times New Roman"/>
          <w:b w:val="0"/>
          <w:i w:val="0"/>
          <w:color w:val="000000"/>
          <w:sz w:val="24"/>
        </w:rPr>
        <w:t>Typical structure is a blend of senior engineers, analytics engineers, and self-serve docs. Challenges include: (i) high onboarding cost for juniors; (ii) dialect differences (PostgreSQL versus Redshift); (iii) stale internal wikis; (iv) generic LLMs that sound confident while inventing APIs. A copilot that cites URLs matches how staff already verify answers.</w:t>
      </w:r>
    </w:p>
    <w:p>
      <w:pPr>
        <w:spacing w:after="120" w:before="240" w:line="240" w:lineRule="auto"/>
      </w:pPr>
      <w:r>
        <w:rPr>
          <w:rFonts w:ascii="Times New Roman" w:hAnsi="Times New Roman" w:eastAsia="Times New Roman"/>
          <w:b/>
          <w:i w:val="0"/>
          <w:color w:val="000000"/>
          <w:sz w:val="26"/>
        </w:rPr>
        <w:t>II.3 Rise of AI in IT Support</w:t>
      </w:r>
    </w:p>
    <w:p>
      <w:pPr>
        <w:spacing w:after="160" w:before="0" w:line="240" w:lineRule="auto"/>
      </w:pPr>
      <w:r>
        <w:rPr>
          <w:rFonts w:ascii="Times New Roman" w:hAnsi="Times New Roman" w:eastAsia="Times New Roman"/>
          <w:b w:val="0"/>
          <w:i w:val="0"/>
          <w:color w:val="000000"/>
          <w:sz w:val="24"/>
        </w:rPr>
        <w:t>Enterprises increasingly trial chat assistants on runbooks and knowledge bases. RAG (Lewis et al., 2020) is the dominant pattern because documents can be updated without full retraining. Agent frameworks that call tools are fashionable; they also expand security and evaluation complexity. For a Master’s V1 on T4 hardware, a retrieve-then-generate chatbot is the proportionate industry analogue.</w:t>
      </w:r>
    </w:p>
    <w:p>
      <w:pPr>
        <w:spacing w:after="120" w:before="240" w:line="240" w:lineRule="auto"/>
      </w:pPr>
      <w:r>
        <w:rPr>
          <w:rFonts w:ascii="Times New Roman" w:hAnsi="Times New Roman" w:eastAsia="Times New Roman"/>
          <w:b/>
          <w:i w:val="0"/>
          <w:color w:val="000000"/>
          <w:sz w:val="26"/>
        </w:rPr>
        <w:t>II.4 Business Value for IT Companies</w:t>
      </w:r>
    </w:p>
    <w:p>
      <w:pPr>
        <w:spacing w:after="160" w:before="0" w:line="240" w:lineRule="auto"/>
      </w:pPr>
      <w:r>
        <w:rPr>
          <w:rFonts w:ascii="Times New Roman" w:hAnsi="Times New Roman" w:eastAsia="Times New Roman"/>
          <w:b w:val="0"/>
          <w:i w:val="0"/>
          <w:color w:val="000000"/>
          <w:sz w:val="24"/>
        </w:rPr>
        <w:t>Value propositions for a data platform team include faster junior ramp-up, fewer repeated documentation questions, and a demonstrable audit trail (retrieved sources). Risks include wrong answers on missing topics (this study’s Analytics gap), over-trust, and accidental scope creep into medical or legal advice. DataPilot AI therefore refuses out-of-domain queries and never claims that generated SQL was executed.</w:t>
      </w:r>
    </w:p>
    <w:p>
      <w:pPr>
        <w:spacing w:after="160" w:before="320" w:line="240" w:lineRule="auto"/>
      </w:pPr>
      <w:r>
        <w:rPr>
          <w:rFonts w:ascii="Times New Roman" w:hAnsi="Times New Roman" w:eastAsia="Times New Roman"/>
          <w:b/>
          <w:i w:val="0"/>
          <w:color w:val="000000"/>
          <w:sz w:val="28"/>
        </w:rPr>
        <w:t>III. Literature Review</w:t>
      </w:r>
    </w:p>
    <w:p>
      <w:pPr>
        <w:spacing w:after="120" w:before="240" w:line="240" w:lineRule="auto"/>
      </w:pPr>
      <w:r>
        <w:rPr>
          <w:rFonts w:ascii="Times New Roman" w:hAnsi="Times New Roman" w:eastAsia="Times New Roman"/>
          <w:b/>
          <w:i w:val="0"/>
          <w:color w:val="000000"/>
          <w:sz w:val="26"/>
        </w:rPr>
        <w:t>III.1 Overview</w:t>
      </w:r>
    </w:p>
    <w:p>
      <w:pPr>
        <w:spacing w:after="160" w:before="0" w:line="240" w:lineRule="auto"/>
      </w:pPr>
      <w:r>
        <w:rPr>
          <w:rFonts w:ascii="Times New Roman" w:hAnsi="Times New Roman" w:eastAsia="Times New Roman"/>
          <w:b w:val="0"/>
          <w:i w:val="0"/>
          <w:color w:val="000000"/>
          <w:sz w:val="24"/>
        </w:rPr>
        <w:t>The literature relevant to DataPilot AI spans Transformer LLMs, RAG, parameter-efficient fine-tuning, embedding retrieval, and chatbot evaluation. This section reviews published work only and does not invent empirical scores from other papers.</w:t>
      </w:r>
    </w:p>
    <w:p>
      <w:pPr>
        <w:spacing w:after="120" w:before="240" w:line="240" w:lineRule="auto"/>
      </w:pPr>
      <w:r>
        <w:rPr>
          <w:rFonts w:ascii="Times New Roman" w:hAnsi="Times New Roman" w:eastAsia="Times New Roman"/>
          <w:b/>
          <w:i w:val="0"/>
          <w:color w:val="000000"/>
          <w:sz w:val="26"/>
        </w:rPr>
        <w:t>III.2 Research on Workflow-Based Agent Architectures</w:t>
      </w:r>
    </w:p>
    <w:p>
      <w:pPr>
        <w:spacing w:after="160" w:before="0" w:line="240" w:lineRule="auto"/>
      </w:pPr>
      <w:r>
        <w:rPr>
          <w:rFonts w:ascii="Times New Roman" w:hAnsi="Times New Roman" w:eastAsia="Times New Roman"/>
          <w:b w:val="0"/>
          <w:i w:val="0"/>
          <w:color w:val="000000"/>
          <w:sz w:val="24"/>
        </w:rPr>
        <w:t>Multi-step agent loops (plan, tool call, observe) are widely discussed for enterprise assistants. They can query databases or ticketing APIs. They also fail in ways that are hard to grade: tool errors, infinite loops, and permission issues.</w:t>
      </w:r>
    </w:p>
    <w:p>
      <w:pPr>
        <w:spacing w:after="160" w:before="0" w:line="240" w:lineRule="auto"/>
      </w:pPr>
      <w:r>
        <w:rPr>
          <w:rFonts w:ascii="Times New Roman" w:hAnsi="Times New Roman" w:eastAsia="Times New Roman"/>
          <w:b w:val="0"/>
          <w:i w:val="0"/>
          <w:color w:val="000000"/>
          <w:sz w:val="24"/>
        </w:rPr>
        <w:t xml:space="preserve">III.2.1 Paper 1: Lewis et al. (2020), Retrieval-Augmented Generation.  </w:t>
      </w:r>
    </w:p>
    <w:p>
      <w:pPr>
        <w:spacing w:after="160" w:before="0" w:line="240" w:lineRule="auto"/>
      </w:pPr>
      <w:r>
        <w:rPr>
          <w:rFonts w:ascii="Times New Roman" w:hAnsi="Times New Roman" w:eastAsia="Times New Roman"/>
          <w:b w:val="0"/>
          <w:i w:val="0"/>
          <w:color w:val="000000"/>
          <w:sz w:val="24"/>
        </w:rPr>
        <w:t>Lewis et al. combine a parametric seq2seq generator with a non-parametric memory of retrieved passages. The central claim used here is architectural: facts can live in documents while the model learns how to use them. DataPilot AI adopts RAG as the factual pathway and rejects agentic tool-use in V1, treating retrieval as a single retrieve-then-generate workflow rather than a multi-agent graph. That is a scoped reading of the RAG paper, not a reproduction of its open-domain QA numbers.</w:t>
      </w:r>
    </w:p>
    <w:p>
      <w:pPr>
        <w:spacing w:after="120" w:before="240" w:line="240" w:lineRule="auto"/>
      </w:pPr>
      <w:r>
        <w:rPr>
          <w:rFonts w:ascii="Times New Roman" w:hAnsi="Times New Roman" w:eastAsia="Times New Roman"/>
          <w:b/>
          <w:i w:val="0"/>
          <w:color w:val="000000"/>
          <w:sz w:val="26"/>
        </w:rPr>
        <w:t>III.3 Simulated Dialogue and Instruction Data for Model Training</w:t>
      </w:r>
    </w:p>
    <w:p>
      <w:pPr>
        <w:spacing w:after="160" w:before="0" w:line="240" w:lineRule="auto"/>
      </w:pPr>
      <w:r>
        <w:rPr>
          <w:rFonts w:ascii="Times New Roman" w:hAnsi="Times New Roman" w:eastAsia="Times New Roman"/>
          <w:b w:val="0"/>
          <w:i w:val="0"/>
          <w:color w:val="000000"/>
          <w:sz w:val="24"/>
        </w:rPr>
        <w:t>Chat models are commonly adapted with instruction–response pairs rather than raw documents (Ouyang et al., 2022). Simulated or synthetic dialogue can expand coverage but risks leaking evaluation items and inventing facts.</w:t>
      </w:r>
    </w:p>
    <w:p>
      <w:pPr>
        <w:spacing w:after="160" w:before="0" w:line="240" w:lineRule="auto"/>
      </w:pPr>
      <w:r>
        <w:rPr>
          <w:rFonts w:ascii="Times New Roman" w:hAnsi="Times New Roman" w:eastAsia="Times New Roman"/>
          <w:b w:val="0"/>
          <w:i w:val="0"/>
          <w:color w:val="000000"/>
          <w:sz w:val="24"/>
        </w:rPr>
        <w:t xml:space="preserve">III.3.1 Paper 2: Hu et al. (2022), LoRA.  </w:t>
      </w:r>
    </w:p>
    <w:p>
      <w:pPr>
        <w:spacing w:after="160" w:before="0" w:line="240" w:lineRule="auto"/>
      </w:pPr>
      <w:r>
        <w:rPr>
          <w:rFonts w:ascii="Times New Roman" w:hAnsi="Times New Roman" w:eastAsia="Times New Roman"/>
          <w:b w:val="0"/>
          <w:i w:val="0"/>
          <w:color w:val="000000"/>
          <w:sz w:val="24"/>
        </w:rPr>
        <w:t>LoRA injects low-rank matrices into frozen weights, enabling domain adaptation without storing a full copy of the base model. DataPilot AI trains LoRA on 667 BI/DE instructions (Dataset B), with 12 items removed because they collided with Dataset C. QLoRA (Dettmers et al., 2023) was the intended T4 method; executed training used LoRA-fp16 when 4-bit loading failed. Dataset B is instruction data, not a large simulated multi-turn corpus.</w:t>
      </w:r>
    </w:p>
    <w:p>
      <w:pPr>
        <w:spacing w:after="120" w:before="240" w:line="240" w:lineRule="auto"/>
      </w:pPr>
      <w:r>
        <w:rPr>
          <w:rFonts w:ascii="Times New Roman" w:hAnsi="Times New Roman" w:eastAsia="Times New Roman"/>
          <w:b/>
          <w:i w:val="0"/>
          <w:color w:val="000000"/>
          <w:sz w:val="26"/>
        </w:rPr>
        <w:t>III.4 Foundations of Chatbot Design in Enterprise Settings</w:t>
      </w:r>
    </w:p>
    <w:p>
      <w:pPr>
        <w:spacing w:after="160" w:before="0" w:line="240" w:lineRule="auto"/>
      </w:pPr>
      <w:r>
        <w:rPr>
          <w:rFonts w:ascii="Times New Roman" w:hAnsi="Times New Roman" w:eastAsia="Times New Roman"/>
          <w:b w:val="0"/>
          <w:i w:val="0"/>
          <w:color w:val="000000"/>
          <w:sz w:val="24"/>
        </w:rPr>
        <w:t>Enterprise chatbots require scope control, logging, and citation honesty more than open-ended personality.</w:t>
      </w:r>
    </w:p>
    <w:p>
      <w:pPr>
        <w:spacing w:after="160" w:before="0" w:line="240" w:lineRule="auto"/>
      </w:pPr>
      <w:r>
        <w:rPr>
          <w:rFonts w:ascii="Times New Roman" w:hAnsi="Times New Roman" w:eastAsia="Times New Roman"/>
          <w:b w:val="0"/>
          <w:i w:val="0"/>
          <w:color w:val="000000"/>
          <w:sz w:val="24"/>
        </w:rPr>
        <w:t xml:space="preserve">III.4.1 Paper 3: Reimers and Gurevych (2019), Sentence-BERT.  </w:t>
      </w:r>
    </w:p>
    <w:p>
      <w:pPr>
        <w:spacing w:after="160" w:before="0" w:line="240" w:lineRule="auto"/>
      </w:pPr>
      <w:r>
        <w:rPr>
          <w:rFonts w:ascii="Times New Roman" w:hAnsi="Times New Roman" w:eastAsia="Times New Roman"/>
          <w:b w:val="0"/>
          <w:i w:val="0"/>
          <w:color w:val="000000"/>
          <w:sz w:val="24"/>
        </w:rPr>
        <w:t>Sentence-BERT produces semantically meaningful sentence embeddings for similarity search. DataPilot AI uses a compact descendant, all-MiniLM-L6-v2, with FAISS (Johnson, Douze and Jégou, 2019) for top-k retrieval. Chunking and top-k remain first-order design choices (Gao et al., 2023).</w:t>
      </w:r>
    </w:p>
    <w:p>
      <w:pPr>
        <w:spacing w:after="120" w:before="240" w:line="240" w:lineRule="auto"/>
      </w:pPr>
      <w:r>
        <w:rPr>
          <w:rFonts w:ascii="Times New Roman" w:hAnsi="Times New Roman" w:eastAsia="Times New Roman"/>
          <w:b/>
          <w:i w:val="0"/>
          <w:color w:val="000000"/>
          <w:sz w:val="26"/>
        </w:rPr>
        <w:t>III.5 Existing Tools and Frameworks for Conversational AI</w:t>
      </w:r>
    </w:p>
    <w:p>
      <w:pPr>
        <w:spacing w:after="160" w:before="0" w:line="240" w:lineRule="auto"/>
      </w:pPr>
      <w:r>
        <w:rPr>
          <w:rFonts w:ascii="Times New Roman" w:hAnsi="Times New Roman" w:eastAsia="Times New Roman"/>
          <w:b w:val="0"/>
          <w:i w:val="0"/>
          <w:color w:val="000000"/>
          <w:sz w:val="24"/>
        </w:rPr>
        <w:t>The implementation uses Hugging Face Transformers and PEFT, Sentence Transformers, FAISS, Streamlit, and Google Colab T4. The locked generator is Qwen2.5-1.5B-Instruct (Yang et al., 2024). Alternatives considered and rejected on feasibility grounds (not fabricated win-rates) were Phi-3.5-mini, Gemma-2-2B-IT, and Mistral-7B-Instruct.</w:t>
      </w:r>
    </w:p>
    <w:p>
      <w:pPr>
        <w:spacing w:after="120" w:before="240" w:line="240" w:lineRule="auto"/>
      </w:pPr>
      <w:r>
        <w:rPr>
          <w:rFonts w:ascii="Times New Roman" w:hAnsi="Times New Roman" w:eastAsia="Times New Roman"/>
          <w:b/>
          <w:i w:val="0"/>
          <w:color w:val="000000"/>
          <w:sz w:val="26"/>
        </w:rPr>
        <w:t>III.6 Gaps in Existing Literature</w:t>
      </w:r>
    </w:p>
    <w:p>
      <w:pPr>
        <w:spacing w:after="160" w:before="0" w:line="240" w:lineRule="auto"/>
      </w:pPr>
      <w:r>
        <w:rPr>
          <w:rFonts w:ascii="Times New Roman" w:hAnsi="Times New Roman" w:eastAsia="Times New Roman"/>
          <w:b w:val="0"/>
          <w:i w:val="0"/>
          <w:color w:val="000000"/>
          <w:sz w:val="24"/>
        </w:rPr>
        <w:t>Public RAG papers often use Wikipedia or general QA. There is less reproducible, compute-honest evidence for small-model RAG plus LoRA on vendor BI/DE documentation, with strict train/eval isolation and an admission when QLoRA cannot run. Human evaluation is still the gold standard (correctness, relevance, completeness, groundedness); many student systems either skip it or invent Likert scores. This study reports automatic proxies and states that human ratings were not collected.</w:t>
      </w:r>
    </w:p>
    <w:p>
      <w:pPr>
        <w:spacing w:after="120" w:before="240" w:line="240" w:lineRule="auto"/>
      </w:pPr>
      <w:r>
        <w:rPr>
          <w:rFonts w:ascii="Times New Roman" w:hAnsi="Times New Roman" w:eastAsia="Times New Roman"/>
          <w:b/>
          <w:i w:val="0"/>
          <w:color w:val="000000"/>
          <w:sz w:val="26"/>
        </w:rPr>
        <w:t>III.7 Contribution of This Study</w:t>
      </w:r>
    </w:p>
    <w:p>
      <w:pPr>
        <w:pStyle w:val="ListBullet"/>
        <w:spacing w:after="80"/>
      </w:pPr>
      <w:r>
        <w:rPr>
          <w:rFonts w:ascii="Times New Roman" w:hAnsi="Times New Roman" w:eastAsia="Times New Roman"/>
          <w:b w:val="0"/>
          <w:i w:val="0"/>
          <w:color w:val="000000"/>
          <w:sz w:val="24"/>
        </w:rPr>
        <w:t xml:space="preserve">A curated six-source BI Knowledge Hub with provenance (42 pages → 37 documents → 281 chunks).  </w:t>
      </w:r>
    </w:p>
    <w:p>
      <w:pPr>
        <w:pStyle w:val="ListBullet"/>
        <w:spacing w:after="80"/>
      </w:pPr>
      <w:r>
        <w:rPr>
          <w:rFonts w:ascii="Times New Roman" w:hAnsi="Times New Roman" w:eastAsia="Times New Roman"/>
          <w:b w:val="0"/>
          <w:i w:val="0"/>
          <w:color w:val="000000"/>
          <w:sz w:val="24"/>
        </w:rPr>
        <w:t xml:space="preserve">Isolated Datasets B and C (0 leakage after filtering).  </w:t>
      </w:r>
    </w:p>
    <w:p>
      <w:pPr>
        <w:pStyle w:val="ListBullet"/>
        <w:spacing w:after="80"/>
      </w:pPr>
      <w:r>
        <w:rPr>
          <w:rFonts w:ascii="Times New Roman" w:hAnsi="Times New Roman" w:eastAsia="Times New Roman"/>
          <w:b w:val="0"/>
          <w:i w:val="0"/>
          <w:color w:val="000000"/>
          <w:sz w:val="24"/>
        </w:rPr>
        <w:t xml:space="preserve">An executed A/B/C comparison on T4 with mixed automatic metrics.  </w:t>
      </w:r>
    </w:p>
    <w:p>
      <w:pPr>
        <w:pStyle w:val="ListBullet"/>
        <w:spacing w:after="80"/>
      </w:pPr>
      <w:r>
        <w:rPr>
          <w:rFonts w:ascii="Times New Roman" w:hAnsi="Times New Roman" w:eastAsia="Times New Roman"/>
          <w:b w:val="0"/>
          <w:i w:val="0"/>
          <w:color w:val="000000"/>
          <w:sz w:val="24"/>
        </w:rPr>
        <w:t xml:space="preserve">An explicit compute finding: fp16 LoRA replaced QLoRA on Colab 2026.  </w:t>
      </w:r>
    </w:p>
    <w:p>
      <w:pPr>
        <w:pStyle w:val="ListBullet"/>
        <w:spacing w:after="80"/>
      </w:pPr>
      <w:r>
        <w:rPr>
          <w:rFonts w:ascii="Times New Roman" w:hAnsi="Times New Roman" w:eastAsia="Times New Roman"/>
          <w:b w:val="0"/>
          <w:i w:val="0"/>
          <w:color w:val="000000"/>
          <w:sz w:val="24"/>
        </w:rPr>
        <w:t>A gap analysis linking Analytics retrieval failure to corpus design.</w:t>
      </w:r>
    </w:p>
    <w:p>
      <w:pPr>
        <w:spacing w:after="160" w:before="320" w:line="240" w:lineRule="auto"/>
      </w:pPr>
      <w:r>
        <w:rPr>
          <w:rFonts w:ascii="Times New Roman" w:hAnsi="Times New Roman" w:eastAsia="Times New Roman"/>
          <w:b/>
          <w:i w:val="0"/>
          <w:color w:val="000000"/>
          <w:sz w:val="28"/>
        </w:rPr>
        <w:t>IV. Methodology</w:t>
      </w:r>
    </w:p>
    <w:p>
      <w:pPr>
        <w:spacing w:after="120" w:before="240" w:line="240" w:lineRule="auto"/>
      </w:pPr>
      <w:r>
        <w:rPr>
          <w:rFonts w:ascii="Times New Roman" w:hAnsi="Times New Roman" w:eastAsia="Times New Roman"/>
          <w:b/>
          <w:i w:val="0"/>
          <w:color w:val="000000"/>
          <w:sz w:val="26"/>
        </w:rPr>
        <w:t>IV.1 Data Acquisition</w:t>
      </w:r>
    </w:p>
    <w:p>
      <w:pPr>
        <w:spacing w:after="160" w:before="0" w:line="240" w:lineRule="auto"/>
      </w:pPr>
      <w:r>
        <w:rPr>
          <w:rFonts w:ascii="Times New Roman" w:hAnsi="Times New Roman" w:eastAsia="Times New Roman"/>
          <w:b w:val="0"/>
          <w:i w:val="0"/>
          <w:color w:val="000000"/>
          <w:sz w:val="24"/>
        </w:rPr>
        <w:t>Dataset A URLs are listed in config/sources.yaml (inventory 0.1.2): PostgreSQL, Redshift, Power BI, Superset, Airflow, and dbt—42 official pages. Collection (scripts/collect_documents.py) respects robots.txt, uses a 1.5 s delay, and stores HTML plus JSON provenance. No unlisted links are followed. Dataset B (667 instructions) and Dataset C (100 questions) were authored separately; Dataset C is never used for training.</w:t>
      </w:r>
    </w:p>
    <w:p>
      <w:pPr>
        <w:spacing w:after="120" w:before="240" w:line="240" w:lineRule="auto"/>
      </w:pPr>
      <w:r>
        <w:rPr>
          <w:rFonts w:ascii="Times New Roman" w:hAnsi="Times New Roman" w:eastAsia="Times New Roman"/>
          <w:b/>
          <w:i w:val="0"/>
          <w:color w:val="000000"/>
          <w:sz w:val="26"/>
        </w:rPr>
        <w:t>IV.2 Data Preprocessing and Text Chunking</w:t>
      </w:r>
    </w:p>
    <w:p>
      <w:pPr>
        <w:spacing w:after="160" w:before="0" w:line="240" w:lineRule="auto"/>
      </w:pPr>
      <w:r>
        <w:rPr>
          <w:rFonts w:ascii="Times New Roman" w:hAnsi="Times New Roman" w:eastAsia="Times New Roman"/>
          <w:b w:val="0"/>
          <w:i w:val="0"/>
          <w:color w:val="000000"/>
          <w:sz w:val="24"/>
        </w:rPr>
        <w:t>HTML was cleaned (boilerplate/navigation removal, whitespace, empty/malformed checks). Five exact-content duplicates were rejected (shared official pages), leaving 37 documents (~598,220 characters). Recursive character splitting targeted ~650 tokens with ~75 overlap (config/rag.yaml), producing 281 chunks, each retaining URL, source, and document identifiers.</w:t>
      </w:r>
    </w:p>
    <w:p>
      <w:pPr>
        <w:spacing w:after="120" w:before="240" w:line="240" w:lineRule="auto"/>
      </w:pPr>
      <w:r>
        <w:rPr>
          <w:rFonts w:ascii="Times New Roman" w:hAnsi="Times New Roman" w:eastAsia="Times New Roman"/>
          <w:b/>
          <w:i w:val="0"/>
          <w:color w:val="000000"/>
          <w:sz w:val="26"/>
        </w:rPr>
        <w:t>IV.3 Embedding and Vectorization</w:t>
      </w:r>
    </w:p>
    <w:p>
      <w:pPr>
        <w:spacing w:after="160" w:before="0" w:line="240" w:lineRule="auto"/>
      </w:pPr>
      <w:r>
        <w:rPr>
          <w:rFonts w:ascii="Times New Roman" w:hAnsi="Times New Roman" w:eastAsia="Times New Roman"/>
          <w:b w:val="0"/>
          <w:i w:val="0"/>
          <w:color w:val="000000"/>
          <w:sz w:val="24"/>
        </w:rPr>
        <w:t>Chunks were embedded with sentence-transformers/all-MiniLM-L6-v2 (384 dimensions, normalised) and stored in FAISS IndexFlatIP (scripts/build_vector_store.py). Optional embedding and chunk-size ablations (exp_03, exp_04) were not run.</w:t>
      </w:r>
    </w:p>
    <w:p>
      <w:pPr>
        <w:spacing w:after="120" w:before="240" w:line="240" w:lineRule="auto"/>
      </w:pPr>
      <w:r>
        <w:rPr>
          <w:rFonts w:ascii="Times New Roman" w:hAnsi="Times New Roman" w:eastAsia="Times New Roman"/>
          <w:b/>
          <w:i w:val="0"/>
          <w:color w:val="000000"/>
          <w:sz w:val="26"/>
        </w:rPr>
        <w:t>IV.4 Retrieval-Augmented Generation (RAG)</w:t>
      </w:r>
    </w:p>
    <w:p>
      <w:pPr>
        <w:spacing w:after="160" w:before="0" w:line="240" w:lineRule="auto"/>
      </w:pPr>
      <w:r>
        <w:rPr>
          <w:rFonts w:ascii="Times New Roman" w:hAnsi="Times New Roman" w:eastAsia="Times New Roman"/>
          <w:b w:val="0"/>
          <w:i w:val="0"/>
          <w:color w:val="000000"/>
          <w:sz w:val="24"/>
        </w:rPr>
        <w:t>At query time the system embeds the question, retrieves top-k=5 chunks, builds a chat prompt (system rules + optional history + context + question), and generates with the Hugging Face model. System B uses the base checkpoint; System C loads the LoRA adapter. Decoding: max 512 new tokens, temperature 0.2, top-p 0.9.</w:t>
      </w:r>
    </w:p>
    <w:p>
      <w:pPr>
        <w:spacing w:after="120" w:before="240" w:line="240" w:lineRule="auto"/>
      </w:pPr>
      <w:r>
        <w:rPr>
          <w:rFonts w:ascii="Times New Roman" w:hAnsi="Times New Roman" w:eastAsia="Times New Roman"/>
          <w:b/>
          <w:i w:val="0"/>
          <w:color w:val="000000"/>
          <w:sz w:val="26"/>
        </w:rPr>
        <w:t>IV.5 Conversational Flow</w:t>
      </w:r>
    </w:p>
    <w:p>
      <w:pPr>
        <w:spacing w:after="160" w:before="0" w:line="240" w:lineRule="auto"/>
      </w:pPr>
      <w:r>
        <w:rPr>
          <w:rFonts w:ascii="Times New Roman" w:hAnsi="Times New Roman" w:eastAsia="Times New Roman"/>
          <w:b w:val="0"/>
          <w:i w:val="0"/>
          <w:color w:val="000000"/>
          <w:sz w:val="24"/>
        </w:rPr>
        <w:t>User message → normalisation → keyword out-of-domain check → retrieve (if RAG) → prompt construction → generate → display answer and source URLs. History is bounded (max 8 turns) and disabled during batch evaluation.</w:t>
      </w:r>
    </w:p>
    <w:p>
      <w:pPr>
        <w:spacing w:after="120" w:before="240" w:line="240" w:lineRule="auto"/>
      </w:pPr>
      <w:r>
        <w:rPr>
          <w:rFonts w:ascii="Times New Roman" w:hAnsi="Times New Roman" w:eastAsia="Times New Roman"/>
          <w:b/>
          <w:i w:val="0"/>
          <w:color w:val="000000"/>
          <w:sz w:val="26"/>
        </w:rPr>
        <w:t>IV.6 Ethical Safeguards and Fallback Logic</w:t>
      </w:r>
    </w:p>
    <w:p>
      <w:pPr>
        <w:spacing w:after="160" w:before="0" w:line="240" w:lineRule="auto"/>
      </w:pPr>
      <w:r>
        <w:rPr>
          <w:rFonts w:ascii="Times New Roman" w:hAnsi="Times New Roman" w:eastAsia="Times New Roman"/>
          <w:b w:val="0"/>
          <w:i w:val="0"/>
          <w:color w:val="000000"/>
          <w:sz w:val="24"/>
        </w:rPr>
        <w:t>The system prompt forbids fabricated citations, invented APIs, and claims that SQL was executed. Medical, legal, and unrelated personal queries matching keyword rules are refused before generation. If retrieval or generation fails, the UI/CLI reports the error rather than a fake answer. Third-party documentation remains under vendor licences; the project stores attribution.</w:t>
      </w:r>
    </w:p>
    <w:p>
      <w:pPr>
        <w:spacing w:after="120" w:before="240" w:line="240" w:lineRule="auto"/>
      </w:pPr>
      <w:r>
        <w:rPr>
          <w:rFonts w:ascii="Times New Roman" w:hAnsi="Times New Roman" w:eastAsia="Times New Roman"/>
          <w:b/>
          <w:i w:val="0"/>
          <w:color w:val="000000"/>
          <w:sz w:val="26"/>
        </w:rPr>
        <w:t>IV.7 Front-End and Deployment Interface</w:t>
      </w:r>
    </w:p>
    <w:p>
      <w:pPr>
        <w:spacing w:after="160" w:before="0" w:line="240" w:lineRule="auto"/>
      </w:pPr>
      <w:r>
        <w:rPr>
          <w:rFonts w:ascii="Times New Roman" w:hAnsi="Times New Roman" w:eastAsia="Times New Roman"/>
          <w:b w:val="0"/>
          <w:i w:val="0"/>
          <w:color w:val="000000"/>
          <w:sz w:val="24"/>
        </w:rPr>
        <w:t>Streamlit (python scripts/run_app.py) provides Fine-tuned+RAG, RAG-only, and Retrieve-only modes, example questions, history, and source links. Academic training and evaluation used Google Colab T4. Local CPU demos can use Retrieve-only without loading the 1.5B model.</w:t>
      </w:r>
    </w:p>
    <w:p>
      <w:pPr>
        <w:spacing w:after="160" w:before="320" w:line="240" w:lineRule="auto"/>
      </w:pPr>
      <w:r>
        <w:rPr>
          <w:rFonts w:ascii="Times New Roman" w:hAnsi="Times New Roman" w:eastAsia="Times New Roman"/>
          <w:b/>
          <w:i w:val="0"/>
          <w:color w:val="000000"/>
          <w:sz w:val="28"/>
        </w:rPr>
        <w:t>V. Experiments and Results</w:t>
      </w:r>
    </w:p>
    <w:p>
      <w:pPr>
        <w:spacing w:after="160" w:before="0" w:line="240" w:lineRule="auto"/>
      </w:pPr>
      <w:r>
        <w:rPr>
          <w:rFonts w:ascii="Times New Roman" w:hAnsi="Times New Roman" w:eastAsia="Times New Roman"/>
          <w:b w:val="0"/>
          <w:i w:val="0"/>
          <w:color w:val="000000"/>
          <w:sz w:val="24"/>
        </w:rPr>
        <w:t>All figures and tables below are from executed artefacts. Mock-LLM smoke tests and bitsandbytes generation_error runs are excluded.</w:t>
      </w:r>
    </w:p>
    <w:p>
      <w:pPr>
        <w:spacing w:after="120" w:before="240" w:line="240" w:lineRule="auto"/>
      </w:pPr>
      <w:r>
        <w:rPr>
          <w:rFonts w:ascii="Times New Roman" w:hAnsi="Times New Roman" w:eastAsia="Times New Roman"/>
          <w:b/>
          <w:i w:val="0"/>
          <w:color w:val="000000"/>
          <w:sz w:val="26"/>
        </w:rPr>
        <w:t>V.1 Objective of Evaluation</w:t>
      </w:r>
    </w:p>
    <w:p>
      <w:pPr>
        <w:spacing w:after="160" w:before="0" w:line="240" w:lineRule="auto"/>
      </w:pPr>
      <w:r>
        <w:rPr>
          <w:rFonts w:ascii="Times New Roman" w:hAnsi="Times New Roman" w:eastAsia="Times New Roman"/>
          <w:b w:val="0"/>
          <w:i w:val="0"/>
          <w:color w:val="000000"/>
          <w:sz w:val="24"/>
        </w:rPr>
        <w:t>To compare Systems A, B, and C on held-out Dataset C, and to measure retrieval quality without the LLM (exp_05), addressing the research question with automatic metrics only.</w:t>
      </w:r>
    </w:p>
    <w:p>
      <w:pPr>
        <w:spacing w:after="120" w:before="240" w:line="240" w:lineRule="auto"/>
      </w:pPr>
      <w:r>
        <w:rPr>
          <w:rFonts w:ascii="Times New Roman" w:hAnsi="Times New Roman" w:eastAsia="Times New Roman"/>
          <w:b/>
          <w:i w:val="0"/>
          <w:color w:val="000000"/>
          <w:sz w:val="26"/>
        </w:rPr>
        <w:t>V.2 Experiment Setup</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Item</w:t>
            </w:r>
          </w:p>
        </w:tc>
        <w:tc>
          <w:tcPr>
            <w:tcW w:type="dxa" w:w="4680"/>
          </w:tcPr>
          <w:p>
            <w:r/>
            <w:r>
              <w:rPr>
                <w:rFonts w:ascii="Times New Roman" w:hAnsi="Times New Roman" w:eastAsia="Times New Roman"/>
                <w:b/>
                <w:i w:val="0"/>
                <w:color w:val="000000"/>
                <w:sz w:val="20"/>
              </w:rPr>
              <w:t>Setting</w:t>
            </w:r>
          </w:p>
        </w:tc>
      </w:tr>
      <w:tr>
        <w:tc>
          <w:tcPr>
            <w:tcW w:type="dxa" w:w="4680"/>
          </w:tcPr>
          <w:p>
            <w:r/>
            <w:r>
              <w:rPr>
                <w:rFonts w:ascii="Times New Roman" w:hAnsi="Times New Roman" w:eastAsia="Times New Roman"/>
                <w:b w:val="0"/>
                <w:i w:val="0"/>
                <w:color w:val="000000"/>
                <w:sz w:val="20"/>
              </w:rPr>
              <w:t>Model</w:t>
            </w:r>
          </w:p>
        </w:tc>
        <w:tc>
          <w:tcPr>
            <w:tcW w:type="dxa" w:w="4680"/>
          </w:tcPr>
          <w:p>
            <w:r/>
            <w:r>
              <w:rPr>
                <w:rFonts w:ascii="Times New Roman" w:hAnsi="Times New Roman" w:eastAsia="Times New Roman"/>
                <w:b w:val="0"/>
                <w:i w:val="0"/>
                <w:color w:val="000000"/>
                <w:sz w:val="20"/>
              </w:rPr>
              <w:t>Qwen/Qwen2.5-1.5B-Instruct</w:t>
            </w:r>
          </w:p>
        </w:tc>
      </w:tr>
      <w:tr>
        <w:tc>
          <w:tcPr>
            <w:tcW w:type="dxa" w:w="4680"/>
          </w:tcPr>
          <w:p>
            <w:r/>
            <w:r>
              <w:rPr>
                <w:rFonts w:ascii="Times New Roman" w:hAnsi="Times New Roman" w:eastAsia="Times New Roman"/>
                <w:b w:val="0"/>
                <w:i w:val="0"/>
                <w:color w:val="000000"/>
                <w:sz w:val="20"/>
              </w:rPr>
              <w:t>Adapter</w:t>
            </w:r>
          </w:p>
        </w:tc>
        <w:tc>
          <w:tcPr>
            <w:tcW w:type="dxa" w:w="4680"/>
          </w:tcPr>
          <w:p>
            <w:r/>
            <w:r>
              <w:rPr>
                <w:rFonts w:ascii="Times New Roman" w:hAnsi="Times New Roman" w:eastAsia="Times New Roman"/>
                <w:b w:val="0"/>
                <w:i w:val="0"/>
                <w:color w:val="000000"/>
                <w:sz w:val="20"/>
              </w:rPr>
              <w:t>`colab_t4_qlora_v1` (LoRA-fp16, r=16, α=32)</w:t>
            </w:r>
          </w:p>
        </w:tc>
      </w:tr>
      <w:tr>
        <w:tc>
          <w:tcPr>
            <w:tcW w:type="dxa" w:w="4680"/>
          </w:tcPr>
          <w:p>
            <w:r/>
            <w:r>
              <w:rPr>
                <w:rFonts w:ascii="Times New Roman" w:hAnsi="Times New Roman" w:eastAsia="Times New Roman"/>
                <w:b w:val="0"/>
                <w:i w:val="0"/>
                <w:color w:val="000000"/>
                <w:sz w:val="20"/>
              </w:rPr>
              <w:t>GPU</w:t>
            </w:r>
          </w:p>
        </w:tc>
        <w:tc>
          <w:tcPr>
            <w:tcW w:type="dxa" w:w="4680"/>
          </w:tcPr>
          <w:p>
            <w:r/>
            <w:r>
              <w:rPr>
                <w:rFonts w:ascii="Times New Roman" w:hAnsi="Times New Roman" w:eastAsia="Times New Roman"/>
                <w:b w:val="0"/>
                <w:i w:val="0"/>
                <w:color w:val="000000"/>
                <w:sz w:val="20"/>
              </w:rPr>
              <w:t>Tesla T4; inference fp16 (`load_in_4bit: false`)</w:t>
            </w:r>
          </w:p>
        </w:tc>
      </w:tr>
      <w:tr>
        <w:tc>
          <w:tcPr>
            <w:tcW w:type="dxa" w:w="4680"/>
          </w:tcPr>
          <w:p>
            <w:r/>
            <w:r>
              <w:rPr>
                <w:rFonts w:ascii="Times New Roman" w:hAnsi="Times New Roman" w:eastAsia="Times New Roman"/>
                <w:b w:val="0"/>
                <w:i w:val="0"/>
                <w:color w:val="000000"/>
                <w:sz w:val="20"/>
              </w:rPr>
              <w:t>Eval set</w:t>
            </w:r>
          </w:p>
        </w:tc>
        <w:tc>
          <w:tcPr>
            <w:tcW w:type="dxa" w:w="4680"/>
          </w:tcPr>
          <w:p>
            <w:r/>
            <w:r>
              <w:rPr>
                <w:rFonts w:ascii="Times New Roman" w:hAnsi="Times New Roman" w:eastAsia="Times New Roman"/>
                <w:b w:val="0"/>
                <w:i w:val="0"/>
                <w:color w:val="000000"/>
                <w:sz w:val="20"/>
              </w:rPr>
              <w:t>100 questions, version datapilot_eval_v1</w:t>
            </w:r>
          </w:p>
        </w:tc>
      </w:tr>
      <w:tr>
        <w:tc>
          <w:tcPr>
            <w:tcW w:type="dxa" w:w="4680"/>
          </w:tcPr>
          <w:p>
            <w:r/>
            <w:r>
              <w:rPr>
                <w:rFonts w:ascii="Times New Roman" w:hAnsi="Times New Roman" w:eastAsia="Times New Roman"/>
                <w:b w:val="0"/>
                <w:i w:val="0"/>
                <w:color w:val="000000"/>
                <w:sz w:val="20"/>
              </w:rPr>
              <w:t>Canonical exp_01</w:t>
            </w:r>
          </w:p>
        </w:tc>
        <w:tc>
          <w:tcPr>
            <w:tcW w:type="dxa" w:w="4680"/>
          </w:tcPr>
          <w:p>
            <w:r/>
            <w:r>
              <w:rPr>
                <w:rFonts w:ascii="Times New Roman" w:hAnsi="Times New Roman" w:eastAsia="Times New Roman"/>
                <w:b w:val="0"/>
                <w:i w:val="0"/>
                <w:color w:val="000000"/>
                <w:sz w:val="20"/>
              </w:rPr>
              <w:t>`exp_01_baseline_vs_rag_20260820T141231Z`</w:t>
            </w:r>
          </w:p>
        </w:tc>
      </w:tr>
      <w:tr>
        <w:tc>
          <w:tcPr>
            <w:tcW w:type="dxa" w:w="4680"/>
          </w:tcPr>
          <w:p>
            <w:r/>
            <w:r>
              <w:rPr>
                <w:rFonts w:ascii="Times New Roman" w:hAnsi="Times New Roman" w:eastAsia="Times New Roman"/>
                <w:b w:val="0"/>
                <w:i w:val="0"/>
                <w:color w:val="000000"/>
                <w:sz w:val="20"/>
              </w:rPr>
              <w:t>Canonical exp_02</w:t>
            </w:r>
          </w:p>
        </w:tc>
        <w:tc>
          <w:tcPr>
            <w:tcW w:type="dxa" w:w="4680"/>
          </w:tcPr>
          <w:p>
            <w:r/>
            <w:r>
              <w:rPr>
                <w:rFonts w:ascii="Times New Roman" w:hAnsi="Times New Roman" w:eastAsia="Times New Roman"/>
                <w:b w:val="0"/>
                <w:i w:val="0"/>
                <w:color w:val="000000"/>
                <w:sz w:val="20"/>
              </w:rPr>
              <w:t>`exp_02_rag_vs_finetuned_rag_20260820T143647Z`</w:t>
            </w:r>
          </w:p>
        </w:tc>
      </w:tr>
      <w:tr>
        <w:tc>
          <w:tcPr>
            <w:tcW w:type="dxa" w:w="4680"/>
          </w:tcPr>
          <w:p>
            <w:r/>
            <w:r>
              <w:rPr>
                <w:rFonts w:ascii="Times New Roman" w:hAnsi="Times New Roman" w:eastAsia="Times New Roman"/>
                <w:b w:val="0"/>
                <w:i w:val="0"/>
                <w:color w:val="000000"/>
                <w:sz w:val="20"/>
              </w:rPr>
              <w:t>Training</w:t>
            </w:r>
          </w:p>
        </w:tc>
        <w:tc>
          <w:tcPr>
            <w:tcW w:type="dxa" w:w="4680"/>
          </w:tcPr>
          <w:p>
            <w:r/>
            <w:r>
              <w:rPr>
                <w:rFonts w:ascii="Times New Roman" w:hAnsi="Times New Roman" w:eastAsia="Times New Roman"/>
                <w:b w:val="0"/>
                <w:i w:val="0"/>
                <w:color w:val="000000"/>
                <w:sz w:val="20"/>
              </w:rPr>
              <w:t>600 / 67 train/val; 3 epochs; best eval loss 0.595; 977.28 s; 4.558 GiB</w:t>
            </w:r>
          </w:p>
        </w:tc>
      </w:tr>
    </w:tbl>
    <w:p/>
    <w:p>
      <w:pPr>
        <w:spacing w:after="160" w:before="0" w:line="240" w:lineRule="auto"/>
      </w:pPr>
      <w:r>
        <w:rPr>
          <w:rFonts w:ascii="Times New Roman" w:hAnsi="Times New Roman" w:eastAsia="Times New Roman"/>
          <w:b w:val="0"/>
          <w:i w:val="0"/>
          <w:color w:val="000000"/>
          <w:sz w:val="24"/>
        </w:rPr>
        <w:t>Eval loss by epoch: 1.010 → 0.670 → 0.595.</w:t>
      </w:r>
    </w:p>
    <w:p>
      <w:pPr>
        <w:spacing w:after="120" w:before="240" w:line="240" w:lineRule="auto"/>
      </w:pPr>
      <w:r>
        <w:rPr>
          <w:rFonts w:ascii="Times New Roman" w:hAnsi="Times New Roman" w:eastAsia="Times New Roman"/>
          <w:b/>
          <w:i w:val="0"/>
          <w:color w:val="000000"/>
          <w:sz w:val="26"/>
        </w:rPr>
        <w:t>V.3 Performance Metrics</w:t>
      </w:r>
    </w:p>
    <w:p>
      <w:pPr>
        <w:pStyle w:val="ListBullet"/>
        <w:spacing w:after="80"/>
      </w:pPr>
      <w:r>
        <w:rPr>
          <w:rFonts w:ascii="Times New Roman" w:hAnsi="Times New Roman" w:eastAsia="Times New Roman"/>
          <w:b w:val="0"/>
          <w:i w:val="0"/>
          <w:color w:val="000000"/>
          <w:sz w:val="24"/>
        </w:rPr>
        <w:t xml:space="preserve">Point coverage: lexical evidence of expected-answer points in the reply.  </w:t>
      </w:r>
    </w:p>
    <w:p>
      <w:pPr>
        <w:pStyle w:val="ListBullet"/>
        <w:spacing w:after="80"/>
      </w:pPr>
      <w:r>
        <w:rPr>
          <w:rFonts w:ascii="Times New Roman" w:hAnsi="Times New Roman" w:eastAsia="Times New Roman"/>
          <w:b w:val="0"/>
          <w:i w:val="0"/>
          <w:color w:val="000000"/>
          <w:sz w:val="24"/>
        </w:rPr>
        <w:t xml:space="preserve">Token F1 and ROUGE-L versus the written reference.  </w:t>
      </w:r>
    </w:p>
    <w:p>
      <w:pPr>
        <w:pStyle w:val="ListBullet"/>
        <w:spacing w:after="80"/>
      </w:pPr>
      <w:r>
        <w:rPr>
          <w:rFonts w:ascii="Times New Roman" w:hAnsi="Times New Roman" w:eastAsia="Times New Roman"/>
          <w:b w:val="0"/>
          <w:i w:val="0"/>
          <w:color w:val="000000"/>
          <w:sz w:val="24"/>
        </w:rPr>
        <w:t xml:space="preserve">Retrieval relevance proxy: point coverage on retrieved chunks (no LLM).  </w:t>
      </w:r>
    </w:p>
    <w:p>
      <w:pPr>
        <w:pStyle w:val="ListBullet"/>
        <w:spacing w:after="80"/>
      </w:pPr>
      <w:r>
        <w:rPr>
          <w:rFonts w:ascii="Times New Roman" w:hAnsi="Times New Roman" w:eastAsia="Times New Roman"/>
          <w:b w:val="0"/>
          <w:i w:val="0"/>
          <w:color w:val="000000"/>
          <w:sz w:val="24"/>
        </w:rPr>
        <w:t xml:space="preserve">Latency: wall-clock `ask()` milliseconds.  </w:t>
      </w:r>
    </w:p>
    <w:p>
      <w:pPr>
        <w:pStyle w:val="ListBullet"/>
        <w:spacing w:after="80"/>
      </w:pPr>
      <w:r>
        <w:rPr>
          <w:rFonts w:ascii="Times New Roman" w:hAnsi="Times New Roman" w:eastAsia="Times New Roman"/>
          <w:b w:val="0"/>
          <w:i w:val="0"/>
          <w:color w:val="000000"/>
          <w:sz w:val="24"/>
        </w:rPr>
        <w:t>Groundedness proxy: answer overlap with retrieved context (RAG only).</w:t>
      </w:r>
    </w:p>
    <w:p>
      <w:pPr>
        <w:spacing w:after="160" w:before="0" w:line="240" w:lineRule="auto"/>
      </w:pPr>
      <w:r>
        <w:rPr>
          <w:rFonts w:ascii="Times New Roman" w:hAnsi="Times New Roman" w:eastAsia="Times New Roman"/>
          <w:b w:val="0"/>
          <w:i w:val="0"/>
          <w:color w:val="000000"/>
          <w:sz w:val="24"/>
        </w:rPr>
        <w:t>These are proxies. They are not human 1–5 grades.</w:t>
      </w:r>
    </w:p>
    <w:p>
      <w:pPr>
        <w:spacing w:after="160" w:before="0" w:line="240" w:lineRule="auto"/>
      </w:pPr>
      <w:r>
        <w:rPr>
          <w:rFonts w:ascii="Times New Roman" w:hAnsi="Times New Roman" w:eastAsia="Times New Roman"/>
          <w:b w:val="0"/>
          <w:i w:val="0"/>
          <w:color w:val="000000"/>
          <w:sz w:val="24"/>
        </w:rPr>
        <w:t>Table I — Retrieval on Dataset C (in-domain n=90, no LLM)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top-k</w:t>
            </w:r>
          </w:p>
        </w:tc>
        <w:tc>
          <w:tcPr>
            <w:tcW w:type="dxa" w:w="3120"/>
          </w:tcPr>
          <w:p>
            <w:r/>
            <w:r>
              <w:rPr>
                <w:rFonts w:ascii="Times New Roman" w:hAnsi="Times New Roman" w:eastAsia="Times New Roman"/>
                <w:b/>
                <w:i w:val="0"/>
                <w:color w:val="000000"/>
                <w:sz w:val="20"/>
              </w:rPr>
              <w:t>Mean retrieval relevance</w:t>
            </w:r>
          </w:p>
        </w:tc>
        <w:tc>
          <w:tcPr>
            <w:tcW w:type="dxa" w:w="3120"/>
          </w:tcPr>
          <w:p>
            <w:r/>
            <w:r>
              <w:rPr>
                <w:rFonts w:ascii="Times New Roman" w:hAnsi="Times New Roman" w:eastAsia="Times New Roman"/>
                <w:b/>
                <w:i w:val="0"/>
                <w:color w:val="000000"/>
                <w:sz w:val="20"/>
              </w:rPr>
              <w:t>Zero-coverage n</w:t>
            </w:r>
          </w:p>
        </w:tc>
      </w:tr>
      <w:tr>
        <w:tc>
          <w:tcPr>
            <w:tcW w:type="dxa" w:w="3120"/>
          </w:tcPr>
          <w:p>
            <w:r/>
            <w:r>
              <w:rPr>
                <w:rFonts w:ascii="Times New Roman" w:hAnsi="Times New Roman" w:eastAsia="Times New Roman"/>
                <w:b w:val="0"/>
                <w:i w:val="0"/>
                <w:color w:val="000000"/>
                <w:sz w:val="20"/>
              </w:rPr>
              <w:t>3</w:t>
            </w:r>
          </w:p>
        </w:tc>
        <w:tc>
          <w:tcPr>
            <w:tcW w:type="dxa" w:w="3120"/>
          </w:tcPr>
          <w:p>
            <w:r/>
            <w:r>
              <w:rPr>
                <w:rFonts w:ascii="Times New Roman" w:hAnsi="Times New Roman" w:eastAsia="Times New Roman"/>
                <w:b w:val="0"/>
                <w:i w:val="0"/>
                <w:color w:val="000000"/>
                <w:sz w:val="20"/>
              </w:rPr>
              <w:t>0.633</w:t>
            </w:r>
          </w:p>
        </w:tc>
        <w:tc>
          <w:tcPr>
            <w:tcW w:type="dxa" w:w="3120"/>
          </w:tcPr>
          <w:p>
            <w:r/>
            <w:r>
              <w:rPr>
                <w:rFonts w:ascii="Times New Roman" w:hAnsi="Times New Roman" w:eastAsia="Times New Roman"/>
                <w:b w:val="0"/>
                <w:i w:val="0"/>
                <w:color w:val="000000"/>
                <w:sz w:val="20"/>
              </w:rPr>
              <w:t>19</w:t>
            </w:r>
          </w:p>
        </w:tc>
      </w:tr>
      <w:tr>
        <w:tc>
          <w:tcPr>
            <w:tcW w:type="dxa" w:w="3120"/>
          </w:tcPr>
          <w:p>
            <w:r/>
            <w:r>
              <w:rPr>
                <w:rFonts w:ascii="Times New Roman" w:hAnsi="Times New Roman" w:eastAsia="Times New Roman"/>
                <w:b w:val="0"/>
                <w:i w:val="0"/>
                <w:color w:val="000000"/>
                <w:sz w:val="20"/>
              </w:rPr>
              <w:t>5</w:t>
            </w:r>
          </w:p>
        </w:tc>
        <w:tc>
          <w:tcPr>
            <w:tcW w:type="dxa" w:w="3120"/>
          </w:tcPr>
          <w:p>
            <w:r/>
            <w:r>
              <w:rPr>
                <w:rFonts w:ascii="Times New Roman" w:hAnsi="Times New Roman" w:eastAsia="Times New Roman"/>
                <w:b w:val="0"/>
                <w:i w:val="0"/>
                <w:color w:val="000000"/>
                <w:sz w:val="20"/>
              </w:rPr>
              <w:t>0.733</w:t>
            </w:r>
          </w:p>
        </w:tc>
        <w:tc>
          <w:tcPr>
            <w:tcW w:type="dxa" w:w="3120"/>
          </w:tcPr>
          <w:p>
            <w:r/>
            <w:r>
              <w:rPr>
                <w:rFonts w:ascii="Times New Roman" w:hAnsi="Times New Roman" w:eastAsia="Times New Roman"/>
                <w:b w:val="0"/>
                <w:i w:val="0"/>
                <w:color w:val="000000"/>
                <w:sz w:val="20"/>
              </w:rPr>
              <w:t>12</w:t>
            </w:r>
          </w:p>
        </w:tc>
      </w:tr>
      <w:tr>
        <w:tc>
          <w:tcPr>
            <w:tcW w:type="dxa" w:w="3120"/>
          </w:tcPr>
          <w:p>
            <w:r/>
            <w:r>
              <w:rPr>
                <w:rFonts w:ascii="Times New Roman" w:hAnsi="Times New Roman" w:eastAsia="Times New Roman"/>
                <w:b w:val="0"/>
                <w:i w:val="0"/>
                <w:color w:val="000000"/>
                <w:sz w:val="20"/>
              </w:rPr>
              <w:t>8</w:t>
            </w:r>
          </w:p>
        </w:tc>
        <w:tc>
          <w:tcPr>
            <w:tcW w:type="dxa" w:w="3120"/>
          </w:tcPr>
          <w:p>
            <w:r/>
            <w:r>
              <w:rPr>
                <w:rFonts w:ascii="Times New Roman" w:hAnsi="Times New Roman" w:eastAsia="Times New Roman"/>
                <w:b w:val="0"/>
                <w:i w:val="0"/>
                <w:color w:val="000000"/>
                <w:sz w:val="20"/>
              </w:rPr>
              <w:t>0.794</w:t>
            </w:r>
          </w:p>
        </w:tc>
        <w:tc>
          <w:tcPr>
            <w:tcW w:type="dxa" w:w="3120"/>
          </w:tcPr>
          <w:p>
            <w:r/>
            <w:r>
              <w:rPr>
                <w:rFonts w:ascii="Times New Roman" w:hAnsi="Times New Roman" w:eastAsia="Times New Roman"/>
                <w:b w:val="0"/>
                <w:i w:val="0"/>
                <w:color w:val="000000"/>
                <w:sz w:val="20"/>
              </w:rPr>
              <w:t>9</w:t>
            </w:r>
          </w:p>
        </w:tc>
      </w:tr>
    </w:tbl>
    <w:p/>
    <w:p>
      <w:pPr>
        <w:spacing w:after="160" w:before="0" w:line="240" w:lineRule="auto"/>
      </w:pPr>
      <w:r>
        <w:rPr>
          <w:rFonts w:ascii="Times New Roman" w:hAnsi="Times New Roman" w:eastAsia="Times New Roman"/>
          <w:b w:val="0"/>
          <w:i w:val="0"/>
          <w:color w:val="000000"/>
          <w:sz w:val="24"/>
        </w:rPr>
        <w:t>At k=5: SQL 0.860; Data Engineering 0.825; BI/Dashboards 0.800; Data Warehousing 0.667; Analytics 0.400. Difficulty: easy 0.852; medium 0.738; hard 0.571. OOD retrieval mean (n=10): 0.100.</w:t>
      </w:r>
    </w:p>
    <w:p>
      <w:pPr>
        <w:spacing w:after="160" w:before="0" w:line="240" w:lineRule="auto"/>
      </w:pPr>
      <w:r>
        <w:rPr>
          <w:rFonts w:ascii="Times New Roman" w:hAnsi="Times New Roman" w:eastAsia="Times New Roman"/>
          <w:b w:val="0"/>
          <w:i w:val="0"/>
          <w:color w:val="000000"/>
          <w:sz w:val="24"/>
        </w:rPr>
        <w:t>Table II — exp_01: base LLM versus RAG (n=100)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color w:val="000000"/>
                <w:sz w:val="20"/>
              </w:rPr>
              <w:t>System</w:t>
            </w:r>
          </w:p>
        </w:tc>
        <w:tc>
          <w:tcPr>
            <w:tcW w:type="dxa" w:w="1872"/>
          </w:tcPr>
          <w:p>
            <w:r/>
            <w:r>
              <w:rPr>
                <w:rFonts w:ascii="Times New Roman" w:hAnsi="Times New Roman" w:eastAsia="Times New Roman"/>
                <w:b/>
                <w:i w:val="0"/>
                <w:color w:val="000000"/>
                <w:sz w:val="20"/>
              </w:rPr>
              <w:t>Point coverage</w:t>
            </w:r>
          </w:p>
        </w:tc>
        <w:tc>
          <w:tcPr>
            <w:tcW w:type="dxa" w:w="1872"/>
          </w:tcPr>
          <w:p>
            <w:r/>
            <w:r>
              <w:rPr>
                <w:rFonts w:ascii="Times New Roman" w:hAnsi="Times New Roman" w:eastAsia="Times New Roman"/>
                <w:b/>
                <w:i w:val="0"/>
                <w:color w:val="000000"/>
                <w:sz w:val="20"/>
              </w:rPr>
              <w:t>Token F1</w:t>
            </w:r>
          </w:p>
        </w:tc>
        <w:tc>
          <w:tcPr>
            <w:tcW w:type="dxa" w:w="1872"/>
          </w:tcPr>
          <w:p>
            <w:r/>
            <w:r>
              <w:rPr>
                <w:rFonts w:ascii="Times New Roman" w:hAnsi="Times New Roman" w:eastAsia="Times New Roman"/>
                <w:b/>
                <w:i w:val="0"/>
                <w:color w:val="000000"/>
                <w:sz w:val="20"/>
              </w:rPr>
              <w:t>ROUGE-L</w:t>
            </w:r>
          </w:p>
        </w:tc>
        <w:tc>
          <w:tcPr>
            <w:tcW w:type="dxa" w:w="1872"/>
          </w:tcPr>
          <w:p>
            <w:r/>
            <w:r>
              <w:rPr>
                <w:rFonts w:ascii="Times New Roman" w:hAnsi="Times New Roman" w:eastAsia="Times New Roman"/>
                <w:b/>
                <w:i w:val="0"/>
                <w:color w:val="000000"/>
                <w:sz w:val="20"/>
              </w:rPr>
              <w:t>Latency (ms)</w:t>
            </w:r>
          </w:p>
        </w:tc>
      </w:tr>
      <w:tr>
        <w:tc>
          <w:tcPr>
            <w:tcW w:type="dxa" w:w="1872"/>
          </w:tcPr>
          <w:p>
            <w:r/>
            <w:r>
              <w:rPr>
                <w:rFonts w:ascii="Times New Roman" w:hAnsi="Times New Roman" w:eastAsia="Times New Roman"/>
                <w:b w:val="0"/>
                <w:i w:val="0"/>
                <w:color w:val="000000"/>
                <w:sz w:val="20"/>
              </w:rPr>
              <w:t>A baseline_llm</w:t>
            </w:r>
          </w:p>
        </w:tc>
        <w:tc>
          <w:tcPr>
            <w:tcW w:type="dxa" w:w="1872"/>
          </w:tcPr>
          <w:p>
            <w:r/>
            <w:r>
              <w:rPr>
                <w:rFonts w:ascii="Times New Roman" w:hAnsi="Times New Roman" w:eastAsia="Times New Roman"/>
                <w:b w:val="0"/>
                <w:i w:val="0"/>
                <w:color w:val="000000"/>
                <w:sz w:val="20"/>
              </w:rPr>
              <w:t>0.470</w:t>
            </w:r>
          </w:p>
        </w:tc>
        <w:tc>
          <w:tcPr>
            <w:tcW w:type="dxa" w:w="1872"/>
          </w:tcPr>
          <w:p>
            <w:r/>
            <w:r>
              <w:rPr>
                <w:rFonts w:ascii="Times New Roman" w:hAnsi="Times New Roman" w:eastAsia="Times New Roman"/>
                <w:b w:val="0"/>
                <w:i w:val="0"/>
                <w:color w:val="000000"/>
                <w:sz w:val="20"/>
              </w:rPr>
              <w:t>0.162</w:t>
            </w:r>
          </w:p>
        </w:tc>
        <w:tc>
          <w:tcPr>
            <w:tcW w:type="dxa" w:w="1872"/>
          </w:tcPr>
          <w:p>
            <w:r/>
            <w:r>
              <w:rPr>
                <w:rFonts w:ascii="Times New Roman" w:hAnsi="Times New Roman" w:eastAsia="Times New Roman"/>
                <w:b w:val="0"/>
                <w:i w:val="0"/>
                <w:color w:val="000000"/>
                <w:sz w:val="20"/>
              </w:rPr>
              <w:t>0.124</w:t>
            </w:r>
          </w:p>
        </w:tc>
        <w:tc>
          <w:tcPr>
            <w:tcW w:type="dxa" w:w="1872"/>
          </w:tcPr>
          <w:p>
            <w:r/>
            <w:r>
              <w:rPr>
                <w:rFonts w:ascii="Times New Roman" w:hAnsi="Times New Roman" w:eastAsia="Times New Roman"/>
                <w:b w:val="0"/>
                <w:i w:val="0"/>
                <w:color w:val="000000"/>
                <w:sz w:val="20"/>
              </w:rPr>
              <w:t>5435</w:t>
            </w:r>
          </w:p>
        </w:tc>
      </w:tr>
      <w:tr>
        <w:tc>
          <w:tcPr>
            <w:tcW w:type="dxa" w:w="1872"/>
          </w:tcPr>
          <w:p>
            <w:r/>
            <w:r>
              <w:rPr>
                <w:rFonts w:ascii="Times New Roman" w:hAnsi="Times New Roman" w:eastAsia="Times New Roman"/>
                <w:b w:val="0"/>
                <w:i w:val="0"/>
                <w:color w:val="000000"/>
                <w:sz w:val="20"/>
              </w:rPr>
              <w:t>B rag_only</w:t>
            </w:r>
          </w:p>
        </w:tc>
        <w:tc>
          <w:tcPr>
            <w:tcW w:type="dxa" w:w="1872"/>
          </w:tcPr>
          <w:p>
            <w:r/>
            <w:r>
              <w:rPr>
                <w:rFonts w:ascii="Times New Roman" w:hAnsi="Times New Roman" w:eastAsia="Times New Roman"/>
                <w:b w:val="0"/>
                <w:i w:val="0"/>
                <w:color w:val="000000"/>
                <w:sz w:val="20"/>
              </w:rPr>
              <w:t>0.510</w:t>
            </w:r>
          </w:p>
        </w:tc>
        <w:tc>
          <w:tcPr>
            <w:tcW w:type="dxa" w:w="1872"/>
          </w:tcPr>
          <w:p>
            <w:r/>
            <w:r>
              <w:rPr>
                <w:rFonts w:ascii="Times New Roman" w:hAnsi="Times New Roman" w:eastAsia="Times New Roman"/>
                <w:b w:val="0"/>
                <w:i w:val="0"/>
                <w:color w:val="000000"/>
                <w:sz w:val="20"/>
              </w:rPr>
              <w:t>0.129</w:t>
            </w:r>
          </w:p>
        </w:tc>
        <w:tc>
          <w:tcPr>
            <w:tcW w:type="dxa" w:w="1872"/>
          </w:tcPr>
          <w:p>
            <w:r/>
            <w:r>
              <w:rPr>
                <w:rFonts w:ascii="Times New Roman" w:hAnsi="Times New Roman" w:eastAsia="Times New Roman"/>
                <w:b w:val="0"/>
                <w:i w:val="0"/>
                <w:color w:val="000000"/>
                <w:sz w:val="20"/>
              </w:rPr>
              <w:t>0.104</w:t>
            </w:r>
          </w:p>
        </w:tc>
        <w:tc>
          <w:tcPr>
            <w:tcW w:type="dxa" w:w="1872"/>
          </w:tcPr>
          <w:p>
            <w:r/>
            <w:r>
              <w:rPr>
                <w:rFonts w:ascii="Times New Roman" w:hAnsi="Times New Roman" w:eastAsia="Times New Roman"/>
                <w:b w:val="0"/>
                <w:i w:val="0"/>
                <w:color w:val="000000"/>
                <w:sz w:val="20"/>
              </w:rPr>
              <w:t>9098</w:t>
            </w:r>
          </w:p>
        </w:tc>
      </w:tr>
    </w:tbl>
    <w:p/>
    <w:p>
      <w:pPr>
        <w:spacing w:after="160" w:before="0" w:line="240" w:lineRule="auto"/>
      </w:pPr>
      <w:r>
        <w:rPr>
          <w:rFonts w:ascii="Times New Roman" w:hAnsi="Times New Roman" w:eastAsia="Times New Roman"/>
          <w:b w:val="0"/>
          <w:i w:val="0"/>
          <w:color w:val="000000"/>
          <w:sz w:val="24"/>
        </w:rPr>
        <w:t>Table III — exp_02: RAG versus fine-tuned RAG (n=100)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color w:val="000000"/>
                <w:sz w:val="20"/>
              </w:rPr>
              <w:t>System</w:t>
            </w:r>
          </w:p>
        </w:tc>
        <w:tc>
          <w:tcPr>
            <w:tcW w:type="dxa" w:w="1872"/>
          </w:tcPr>
          <w:p>
            <w:r/>
            <w:r>
              <w:rPr>
                <w:rFonts w:ascii="Times New Roman" w:hAnsi="Times New Roman" w:eastAsia="Times New Roman"/>
                <w:b/>
                <w:i w:val="0"/>
                <w:color w:val="000000"/>
                <w:sz w:val="20"/>
              </w:rPr>
              <w:t>Point coverage</w:t>
            </w:r>
          </w:p>
        </w:tc>
        <w:tc>
          <w:tcPr>
            <w:tcW w:type="dxa" w:w="1872"/>
          </w:tcPr>
          <w:p>
            <w:r/>
            <w:r>
              <w:rPr>
                <w:rFonts w:ascii="Times New Roman" w:hAnsi="Times New Roman" w:eastAsia="Times New Roman"/>
                <w:b/>
                <w:i w:val="0"/>
                <w:color w:val="000000"/>
                <w:sz w:val="20"/>
              </w:rPr>
              <w:t>Token F1</w:t>
            </w:r>
          </w:p>
        </w:tc>
        <w:tc>
          <w:tcPr>
            <w:tcW w:type="dxa" w:w="1872"/>
          </w:tcPr>
          <w:p>
            <w:r/>
            <w:r>
              <w:rPr>
                <w:rFonts w:ascii="Times New Roman" w:hAnsi="Times New Roman" w:eastAsia="Times New Roman"/>
                <w:b/>
                <w:i w:val="0"/>
                <w:color w:val="000000"/>
                <w:sz w:val="20"/>
              </w:rPr>
              <w:t>ROUGE-L</w:t>
            </w:r>
          </w:p>
        </w:tc>
        <w:tc>
          <w:tcPr>
            <w:tcW w:type="dxa" w:w="1872"/>
          </w:tcPr>
          <w:p>
            <w:r/>
            <w:r>
              <w:rPr>
                <w:rFonts w:ascii="Times New Roman" w:hAnsi="Times New Roman" w:eastAsia="Times New Roman"/>
                <w:b/>
                <w:i w:val="0"/>
                <w:color w:val="000000"/>
                <w:sz w:val="20"/>
              </w:rPr>
              <w:t>Latency (ms)</w:t>
            </w:r>
          </w:p>
        </w:tc>
      </w:tr>
      <w:tr>
        <w:tc>
          <w:tcPr>
            <w:tcW w:type="dxa" w:w="1872"/>
          </w:tcPr>
          <w:p>
            <w:r/>
            <w:r>
              <w:rPr>
                <w:rFonts w:ascii="Times New Roman" w:hAnsi="Times New Roman" w:eastAsia="Times New Roman"/>
                <w:b w:val="0"/>
                <w:i w:val="0"/>
                <w:color w:val="000000"/>
                <w:sz w:val="20"/>
              </w:rPr>
              <w:t>B rag_only</w:t>
            </w:r>
          </w:p>
        </w:tc>
        <w:tc>
          <w:tcPr>
            <w:tcW w:type="dxa" w:w="1872"/>
          </w:tcPr>
          <w:p>
            <w:r/>
            <w:r>
              <w:rPr>
                <w:rFonts w:ascii="Times New Roman" w:hAnsi="Times New Roman" w:eastAsia="Times New Roman"/>
                <w:b w:val="0"/>
                <w:i w:val="0"/>
                <w:color w:val="000000"/>
                <w:sz w:val="20"/>
              </w:rPr>
              <w:t>0.505</w:t>
            </w:r>
          </w:p>
        </w:tc>
        <w:tc>
          <w:tcPr>
            <w:tcW w:type="dxa" w:w="1872"/>
          </w:tcPr>
          <w:p>
            <w:r/>
            <w:r>
              <w:rPr>
                <w:rFonts w:ascii="Times New Roman" w:hAnsi="Times New Roman" w:eastAsia="Times New Roman"/>
                <w:b w:val="0"/>
                <w:i w:val="0"/>
                <w:color w:val="000000"/>
                <w:sz w:val="20"/>
              </w:rPr>
              <w:t>0.134</w:t>
            </w:r>
          </w:p>
        </w:tc>
        <w:tc>
          <w:tcPr>
            <w:tcW w:type="dxa" w:w="1872"/>
          </w:tcPr>
          <w:p>
            <w:r/>
            <w:r>
              <w:rPr>
                <w:rFonts w:ascii="Times New Roman" w:hAnsi="Times New Roman" w:eastAsia="Times New Roman"/>
                <w:b w:val="0"/>
                <w:i w:val="0"/>
                <w:color w:val="000000"/>
                <w:sz w:val="20"/>
              </w:rPr>
              <w:t>0.108</w:t>
            </w:r>
          </w:p>
        </w:tc>
        <w:tc>
          <w:tcPr>
            <w:tcW w:type="dxa" w:w="1872"/>
          </w:tcPr>
          <w:p>
            <w:r/>
            <w:r>
              <w:rPr>
                <w:rFonts w:ascii="Times New Roman" w:hAnsi="Times New Roman" w:eastAsia="Times New Roman"/>
                <w:b w:val="0"/>
                <w:i w:val="0"/>
                <w:color w:val="000000"/>
                <w:sz w:val="20"/>
              </w:rPr>
              <w:t>8094</w:t>
            </w:r>
          </w:p>
        </w:tc>
      </w:tr>
      <w:tr>
        <w:tc>
          <w:tcPr>
            <w:tcW w:type="dxa" w:w="1872"/>
          </w:tcPr>
          <w:p>
            <w:r/>
            <w:r>
              <w:rPr>
                <w:rFonts w:ascii="Times New Roman" w:hAnsi="Times New Roman" w:eastAsia="Times New Roman"/>
                <w:b w:val="0"/>
                <w:i w:val="0"/>
                <w:color w:val="000000"/>
                <w:sz w:val="20"/>
              </w:rPr>
              <w:t>C finetuned_rag</w:t>
            </w:r>
          </w:p>
        </w:tc>
        <w:tc>
          <w:tcPr>
            <w:tcW w:type="dxa" w:w="1872"/>
          </w:tcPr>
          <w:p>
            <w:r/>
            <w:r>
              <w:rPr>
                <w:rFonts w:ascii="Times New Roman" w:hAnsi="Times New Roman" w:eastAsia="Times New Roman"/>
                <w:b w:val="0"/>
                <w:i w:val="0"/>
                <w:color w:val="000000"/>
                <w:sz w:val="20"/>
              </w:rPr>
              <w:t>0.430</w:t>
            </w:r>
          </w:p>
        </w:tc>
        <w:tc>
          <w:tcPr>
            <w:tcW w:type="dxa" w:w="1872"/>
          </w:tcPr>
          <w:p>
            <w:r/>
            <w:r>
              <w:rPr>
                <w:rFonts w:ascii="Times New Roman" w:hAnsi="Times New Roman" w:eastAsia="Times New Roman"/>
                <w:b w:val="0"/>
                <w:i w:val="0"/>
                <w:color w:val="000000"/>
                <w:sz w:val="20"/>
              </w:rPr>
              <w:t>0.333</w:t>
            </w:r>
          </w:p>
        </w:tc>
        <w:tc>
          <w:tcPr>
            <w:tcW w:type="dxa" w:w="1872"/>
          </w:tcPr>
          <w:p>
            <w:r/>
            <w:r>
              <w:rPr>
                <w:rFonts w:ascii="Times New Roman" w:hAnsi="Times New Roman" w:eastAsia="Times New Roman"/>
                <w:b w:val="0"/>
                <w:i w:val="0"/>
                <w:color w:val="000000"/>
                <w:sz w:val="20"/>
              </w:rPr>
              <w:t>0.282</w:t>
            </w:r>
          </w:p>
        </w:tc>
        <w:tc>
          <w:tcPr>
            <w:tcW w:type="dxa" w:w="1872"/>
          </w:tcPr>
          <w:p>
            <w:r/>
            <w:r>
              <w:rPr>
                <w:rFonts w:ascii="Times New Roman" w:hAnsi="Times New Roman" w:eastAsia="Times New Roman"/>
                <w:b w:val="0"/>
                <w:i w:val="0"/>
                <w:color w:val="000000"/>
                <w:sz w:val="20"/>
              </w:rPr>
              <w:t>3564</w:t>
            </w:r>
          </w:p>
        </w:tc>
      </w:tr>
    </w:tbl>
    <w:p/>
    <w:p>
      <w:pPr>
        <w:spacing w:after="160" w:before="0" w:line="240" w:lineRule="auto"/>
      </w:pPr>
      <w:r>
        <w:rPr>
          <w:rFonts w:ascii="Times New Roman" w:hAnsi="Times New Roman" w:eastAsia="Times New Roman"/>
          <w:b w:val="0"/>
          <w:i w:val="0"/>
          <w:color w:val="000000"/>
          <w:sz w:val="24"/>
        </w:rPr>
        <w:t>RAG-only groundedness ≈ 0.70 (exp_01) and 0.691 (exp_02); fine-tuned RAG 0.637. Keyword OOD refusal fired on 5/100 items (10 OOD questions exist).</w:t>
      </w:r>
    </w:p>
    <w:p>
      <w:pPr>
        <w:spacing w:after="120" w:before="240" w:line="240" w:lineRule="auto"/>
      </w:pPr>
      <w:r>
        <w:rPr>
          <w:rFonts w:ascii="Times New Roman" w:hAnsi="Times New Roman" w:eastAsia="Times New Roman"/>
          <w:b/>
          <w:i w:val="0"/>
          <w:color w:val="000000"/>
          <w:sz w:val="26"/>
        </w:rPr>
        <w:t>V.4 Qualitative Observations</w:t>
      </w:r>
    </w:p>
    <w:p>
      <w:pPr>
        <w:spacing w:after="160" w:before="0" w:line="240" w:lineRule="auto"/>
      </w:pPr>
      <w:r>
        <w:rPr>
          <w:rFonts w:ascii="Times New Roman" w:hAnsi="Times New Roman" w:eastAsia="Times New Roman"/>
          <w:b w:val="0"/>
          <w:i w:val="0"/>
          <w:color w:val="000000"/>
          <w:sz w:val="24"/>
        </w:rPr>
        <w:t>RAG answers are longer and more tutorial-like; fine-tuned answers are denser and closer to Dataset B diction. Analytics questions such as churn, funnel analysis, conversion rate, and MAU had zero retrieval-point coverage at k=5—the index cannot ground what the HTML inventory barely contains. SCD Type 2 and mixed-grain fact-table questions also failed retrieval despite being standard warehouse teaching topics, because the curated vendor pages emphasise product syntax over dimensional-modelling textbooks.</w:t>
      </w:r>
    </w:p>
    <w:p>
      <w:pPr>
        <w:spacing w:after="120" w:before="240" w:line="240" w:lineRule="auto"/>
      </w:pPr>
      <w:r>
        <w:rPr>
          <w:rFonts w:ascii="Times New Roman" w:hAnsi="Times New Roman" w:eastAsia="Times New Roman"/>
          <w:b/>
          <w:i w:val="0"/>
          <w:color w:val="000000"/>
          <w:sz w:val="26"/>
        </w:rPr>
        <w:t>V.5 Sample Query-Response Evaluations</w:t>
      </w:r>
    </w:p>
    <w:p>
      <w:pPr>
        <w:spacing w:after="160" w:before="0" w:line="240" w:lineRule="auto"/>
      </w:pPr>
      <w:r>
        <w:rPr>
          <w:rFonts w:ascii="Times New Roman" w:hAnsi="Times New Roman" w:eastAsia="Times New Roman"/>
          <w:b w:val="0"/>
          <w:i w:val="0"/>
          <w:color w:val="000000"/>
          <w:sz w:val="24"/>
        </w:rPr>
        <w:t>Question (eval_sql_001): What does SELECT do in SQL?</w:t>
      </w:r>
    </w:p>
    <w:p>
      <w:pPr>
        <w:pStyle w:val="ListBullet"/>
        <w:spacing w:after="80"/>
      </w:pPr>
      <w:r>
        <w:rPr>
          <w:rFonts w:ascii="Times New Roman" w:hAnsi="Times New Roman" w:eastAsia="Times New Roman"/>
          <w:b w:val="0"/>
          <w:i w:val="0"/>
          <w:color w:val="000000"/>
          <w:sz w:val="24"/>
        </w:rPr>
        <w:t xml:space="preserve">System A: Tutorial explanation of SELECT/FROM/WHERE (mode `baseline_llm`).  </w:t>
      </w:r>
    </w:p>
    <w:p>
      <w:pPr>
        <w:pStyle w:val="ListBullet"/>
        <w:spacing w:after="80"/>
      </w:pPr>
      <w:r>
        <w:rPr>
          <w:rFonts w:ascii="Times New Roman" w:hAnsi="Times New Roman" w:eastAsia="Times New Roman"/>
          <w:b w:val="0"/>
          <w:i w:val="0"/>
          <w:color w:val="000000"/>
          <w:sz w:val="24"/>
        </w:rPr>
        <w:t xml:space="preserve">System B: Similar explanation grounded in retrieved PostgreSQL-style context (mode `rag`).  </w:t>
      </w:r>
    </w:p>
    <w:p>
      <w:pPr>
        <w:pStyle w:val="ListBullet"/>
        <w:spacing w:after="80"/>
      </w:pPr>
      <w:r>
        <w:rPr>
          <w:rFonts w:ascii="Times New Roman" w:hAnsi="Times New Roman" w:eastAsia="Times New Roman"/>
          <w:b w:val="0"/>
          <w:i w:val="0"/>
          <w:color w:val="000000"/>
          <w:sz w:val="24"/>
        </w:rPr>
        <w:t>System C: Compact instruction style: “SELECT lists the columns and expressions to compute and their order…” (mode `finetuned_rag`).</w:t>
      </w:r>
    </w:p>
    <w:p>
      <w:pPr>
        <w:spacing w:after="160" w:before="0" w:line="240" w:lineRule="auto"/>
      </w:pPr>
      <w:r>
        <w:rPr>
          <w:rFonts w:ascii="Times New Roman" w:hAnsi="Times New Roman" w:eastAsia="Times New Roman"/>
          <w:b w:val="0"/>
          <w:i w:val="0"/>
          <w:color w:val="000000"/>
          <w:sz w:val="24"/>
        </w:rPr>
        <w:t>This single item illustrates metric disagreement: C may match a short reference more closely while covering fewer checklist phrases.</w:t>
      </w:r>
    </w:p>
    <w:p>
      <w:pPr>
        <w:spacing w:after="120" w:before="240" w:line="240" w:lineRule="auto"/>
      </w:pPr>
      <w:r>
        <w:rPr>
          <w:rFonts w:ascii="Times New Roman" w:hAnsi="Times New Roman" w:eastAsia="Times New Roman"/>
          <w:b/>
          <w:i w:val="0"/>
          <w:color w:val="000000"/>
          <w:sz w:val="26"/>
        </w:rPr>
        <w:t>V.6 Limitations Noted</w:t>
      </w:r>
    </w:p>
    <w:p>
      <w:pPr>
        <w:spacing w:after="160" w:before="0" w:line="240" w:lineRule="auto"/>
      </w:pPr>
      <w:r>
        <w:rPr>
          <w:rFonts w:ascii="Times New Roman" w:hAnsi="Times New Roman" w:eastAsia="Times New Roman"/>
          <w:b w:val="0"/>
          <w:i w:val="0"/>
          <w:color w:val="000000"/>
          <w:sz w:val="24"/>
        </w:rPr>
        <w:t>Automatic metrics only; no human study. Single model, embedding, and chunk size. 1.5B parameter ceiling. Incomplete keyword OOD. Duplicate official URLs reduced unique Superset documents. No statistical significance tests. QLoRA was not executed. Optional exp_03/04/06 were not run.</w:t>
      </w:r>
    </w:p>
    <w:p>
      <w:pPr>
        <w:spacing w:after="120" w:before="240" w:line="240" w:lineRule="auto"/>
      </w:pPr>
      <w:r>
        <w:rPr>
          <w:rFonts w:ascii="Times New Roman" w:hAnsi="Times New Roman" w:eastAsia="Times New Roman"/>
          <w:b/>
          <w:i w:val="0"/>
          <w:color w:val="000000"/>
          <w:sz w:val="26"/>
        </w:rPr>
        <w:t>V.7 Summary of Results</w:t>
      </w:r>
    </w:p>
    <w:p>
      <w:pPr>
        <w:spacing w:after="160" w:before="0" w:line="240" w:lineRule="auto"/>
      </w:pPr>
      <w:r>
        <w:rPr>
          <w:rFonts w:ascii="Times New Roman" w:hAnsi="Times New Roman" w:eastAsia="Times New Roman"/>
          <w:b w:val="0"/>
          <w:i w:val="0"/>
          <w:color w:val="000000"/>
          <w:sz w:val="24"/>
        </w:rPr>
        <w:t>RAG partially supports the hypothesis on point coverage (+0.040 vs A) with a latency cost. LoRA+RAG does not improve that checklist; it improves F1/ROUGE-L and speed. Retrieval analysis locates a corpus bottleneck in Analytics. Training dynamics are healthy (monotonic eval-loss drop over three epochs) and memory-feasible on T4 in fp16.</w:t>
      </w:r>
    </w:p>
    <w:p>
      <w:pPr>
        <w:spacing w:after="160" w:before="320" w:line="240" w:lineRule="auto"/>
      </w:pPr>
      <w:r>
        <w:rPr>
          <w:rFonts w:ascii="Times New Roman" w:hAnsi="Times New Roman" w:eastAsia="Times New Roman"/>
          <w:b/>
          <w:i w:val="0"/>
          <w:color w:val="000000"/>
          <w:sz w:val="28"/>
        </w:rPr>
        <w:t>VI. Discussion</w:t>
      </w:r>
    </w:p>
    <w:p>
      <w:pPr>
        <w:spacing w:after="160" w:before="0" w:line="240" w:lineRule="auto"/>
      </w:pPr>
      <w:r>
        <w:rPr>
          <w:rFonts w:ascii="Times New Roman" w:hAnsi="Times New Roman" w:eastAsia="Times New Roman"/>
          <w:b w:val="0"/>
          <w:i w:val="0"/>
          <w:color w:val="000000"/>
          <w:sz w:val="24"/>
        </w:rPr>
        <w:t>The academically defensible claim is not “fine-tuning always wins.” Under T4 constraints, retrieval quality and what is in the knowledge hub explain more of the checklist outcome than the adapter. LoRA remains useful for style, shorter answers, and refusal training. Mixed automatic metrics are expected: ROUGE rewards n-gram overlap (Lin, 2004); point coverage rewards keyword evidence of a marking scheme. A paper that reported only one family of metrics would have inverted the LoRA conclusion.</w:t>
      </w:r>
    </w:p>
    <w:p>
      <w:pPr>
        <w:spacing w:after="160" w:before="0" w:line="240" w:lineRule="auto"/>
      </w:pPr>
      <w:r>
        <w:rPr>
          <w:rFonts w:ascii="Times New Roman" w:hAnsi="Times New Roman" w:eastAsia="Times New Roman"/>
          <w:b w:val="0"/>
          <w:i w:val="0"/>
          <w:color w:val="000000"/>
          <w:sz w:val="24"/>
        </w:rPr>
        <w:t>Practical implication: deploy Retrieve-only or RAG for documentation lookup; treat LoRA as a style layer; expand Analytics and dimensional-modelling sources before claiming KPI expertise. Insights from building the bot—isolation engineering, library-version methodology, inventory-driven failures—are as important as the headline percentages.</w:t>
      </w:r>
    </w:p>
    <w:p>
      <w:pPr>
        <w:spacing w:after="160" w:before="320" w:line="240" w:lineRule="auto"/>
      </w:pPr>
      <w:r>
        <w:rPr>
          <w:rFonts w:ascii="Times New Roman" w:hAnsi="Times New Roman" w:eastAsia="Times New Roman"/>
          <w:b/>
          <w:i w:val="0"/>
          <w:color w:val="000000"/>
          <w:sz w:val="28"/>
        </w:rPr>
        <w:t>VII. Conclusion</w:t>
      </w:r>
    </w:p>
    <w:p>
      <w:pPr>
        <w:spacing w:after="160" w:before="0" w:line="240" w:lineRule="auto"/>
      </w:pPr>
      <w:r>
        <w:rPr>
          <w:rFonts w:ascii="Times New Roman" w:hAnsi="Times New Roman" w:eastAsia="Times New Roman"/>
          <w:b w:val="0"/>
          <w:i w:val="0"/>
          <w:color w:val="000000"/>
          <w:sz w:val="24"/>
        </w:rPr>
        <w:t>DataPilot AI is a reproducible, non-agentic copilot for BI and DE. On 100 held-out questions, RAG improved expected-answer-point coverage relative to the same Qwen 1.5B model without retrieval. LoRA plus RAG improved reference overlap and reduced latency but reduced point coverage. Analytics retrieval is the clearest coverage gap. Future work: human 1–5 annotation, embedding/chunk ablations, a denser analytics corpus, and optional sandboxed SQL outside V1.</w:t>
      </w:r>
    </w:p>
    <w:p>
      <w:pPr>
        <w:spacing w:after="160" w:before="320" w:line="240" w:lineRule="auto"/>
      </w:pPr>
      <w:r>
        <w:rPr>
          <w:rFonts w:ascii="Times New Roman" w:hAnsi="Times New Roman" w:eastAsia="Times New Roman"/>
          <w:b/>
          <w:i w:val="0"/>
          <w:color w:val="000000"/>
          <w:sz w:val="28"/>
        </w:rPr>
        <w:t>Appendix</w:t>
      </w:r>
    </w:p>
    <w:p>
      <w:pPr>
        <w:spacing w:after="120" w:before="240" w:line="240" w:lineRule="auto"/>
      </w:pPr>
      <w:r>
        <w:rPr>
          <w:rFonts w:ascii="Times New Roman" w:hAnsi="Times New Roman" w:eastAsia="Times New Roman"/>
          <w:b/>
          <w:i w:val="0"/>
          <w:color w:val="000000"/>
          <w:sz w:val="26"/>
        </w:rPr>
        <w:t>A. Application Architecture Summary</w:t>
      </w:r>
    </w:p>
    <w:p>
      <w:pPr>
        <w:spacing w:after="160" w:before="0" w:line="240" w:lineRule="auto"/>
      </w:pPr>
      <w:r>
        <w:rPr>
          <w:rFonts w:ascii="Times New Roman" w:hAnsi="Times New Roman" w:eastAsia="Times New Roman"/>
          <w:b w:val="0"/>
          <w:i w:val="0"/>
          <w:color w:val="000000"/>
          <w:sz w:val="24"/>
        </w:rPr>
        <w:t>Streamlit UI → query processing (normalise, memory, OOD) → MiniLM encoder → FAISS → prompt builder → Qwen 1.5B ± LoRA → answer + source URLs. Modes: baseline_llm, rag_only, finetuned_rag, retrieve-only.</w:t>
      </w:r>
    </w:p>
    <w:p>
      <w:pPr>
        <w:spacing w:after="120" w:before="240" w:line="240" w:lineRule="auto"/>
      </w:pPr>
      <w:r>
        <w:rPr>
          <w:rFonts w:ascii="Times New Roman" w:hAnsi="Times New Roman" w:eastAsia="Times New Roman"/>
          <w:b/>
          <w:i w:val="0"/>
          <w:color w:val="000000"/>
          <w:sz w:val="26"/>
        </w:rPr>
        <w:t>B. Workflow</w:t>
      </w:r>
    </w:p>
    <w:p>
      <w:pPr>
        <w:spacing w:after="160" w:before="0" w:line="240" w:lineRule="auto"/>
      </w:pPr>
      <w:r>
        <w:rPr>
          <w:rFonts w:ascii="Times New Roman" w:hAnsi="Times New Roman" w:eastAsia="Times New Roman"/>
          <w:b w:val="0"/>
          <w:i w:val="0"/>
          <w:color w:val="000000"/>
          <w:sz w:val="24"/>
        </w:rPr>
        <w:t>Curate URLs → collect HTML → preprocess → chunk → embed → FAISS → (optional) LoRA train → evaluate A/B/C → Streamlit demo.</w:t>
      </w:r>
    </w:p>
    <w:p>
      <w:pPr>
        <w:spacing w:after="120" w:before="240" w:line="240" w:lineRule="auto"/>
      </w:pPr>
      <w:r>
        <w:rPr>
          <w:rFonts w:ascii="Times New Roman" w:hAnsi="Times New Roman" w:eastAsia="Times New Roman"/>
          <w:b/>
          <w:i w:val="0"/>
          <w:color w:val="000000"/>
          <w:sz w:val="26"/>
        </w:rPr>
        <w:t>C. Pipeline</w:t>
      </w:r>
    </w:p>
    <w:p>
      <w:pPr>
        <w:spacing w:after="160" w:before="0" w:line="240" w:lineRule="auto"/>
      </w:pPr>
      <w:r>
        <w:rPr>
          <w:rFonts w:ascii="Times New Roman" w:hAnsi="Times New Roman" w:eastAsia="Times New Roman"/>
          <w:b w:val="0"/>
          <w:i w:val="0"/>
          <w:color w:val="000000"/>
          <w:sz w:val="24"/>
        </w:rPr>
        <w:t>collect_documents.py → preprocess_documents.py → build_chunks.py → build_vector_store.py → train_qlora.py → run_experiments.py / evaluate.py → run_app.py.</w:t>
      </w:r>
    </w:p>
    <w:p>
      <w:pPr>
        <w:spacing w:after="120" w:before="240" w:line="240" w:lineRule="auto"/>
      </w:pPr>
      <w:r>
        <w:rPr>
          <w:rFonts w:ascii="Times New Roman" w:hAnsi="Times New Roman" w:eastAsia="Times New Roman"/>
          <w:b/>
          <w:i w:val="0"/>
          <w:color w:val="000000"/>
          <w:sz w:val="26"/>
        </w:rPr>
        <w:t>D. Prompt Template</w:t>
      </w:r>
    </w:p>
    <w:p>
      <w:pPr>
        <w:spacing w:after="160" w:before="0" w:line="240" w:lineRule="auto"/>
      </w:pPr>
      <w:r>
        <w:rPr>
          <w:rFonts w:ascii="Times New Roman" w:hAnsi="Times New Roman" w:eastAsia="Times New Roman"/>
          <w:b w:val="0"/>
          <w:i w:val="0"/>
          <w:color w:val="000000"/>
          <w:sz w:val="24"/>
        </w:rPr>
        <w:t>System prompt (abridged): DataPilot AI is specialised in SQL, DE, warehousing, BI platforms, and analytics; prefer retrieved context; do not invent facts, APIs, or citations; do not claim SQL was executed; refuse medicine/law/unrelated personal advice; list sources when retrieval is used.</w:t>
      </w:r>
    </w:p>
    <w:p>
      <w:pPr>
        <w:spacing w:after="120" w:before="240" w:line="240" w:lineRule="auto"/>
      </w:pPr>
      <w:r>
        <w:rPr>
          <w:rFonts w:ascii="Times New Roman" w:hAnsi="Times New Roman" w:eastAsia="Times New Roman"/>
          <w:b/>
          <w:i w:val="0"/>
          <w:color w:val="000000"/>
          <w:sz w:val="26"/>
        </w:rPr>
        <w:t>E. Logic</w:t>
      </w:r>
    </w:p>
    <w:p>
      <w:pPr>
        <w:spacing w:after="160" w:before="0" w:line="240" w:lineRule="auto"/>
      </w:pPr>
      <w:r>
        <w:rPr>
          <w:rFonts w:ascii="Times New Roman" w:hAnsi="Times New Roman" w:eastAsia="Times New Roman"/>
          <w:b w:val="0"/>
          <w:i w:val="0"/>
          <w:color w:val="000000"/>
          <w:sz w:val="24"/>
        </w:rPr>
        <w:t>If query empty → ask for a BI/DE question. If OOD keywords and no in-domain hint → refuse. If RAG enabled → retrieve top-k. Generate with chat template. On exception → return a generation/retrieval error string (not a fabricated answer). Batch eval disables conversation history.</w:t>
      </w:r>
    </w:p>
    <w:p>
      <w:pPr>
        <w:spacing w:after="120" w:before="240" w:line="240" w:lineRule="auto"/>
      </w:pPr>
      <w:r>
        <w:rPr>
          <w:rFonts w:ascii="Times New Roman" w:hAnsi="Times New Roman" w:eastAsia="Times New Roman"/>
          <w:b/>
          <w:i w:val="0"/>
          <w:color w:val="000000"/>
          <w:sz w:val="26"/>
        </w:rPr>
        <w:t>F. User Interface</w:t>
      </w:r>
    </w:p>
    <w:p>
      <w:pPr>
        <w:spacing w:after="160" w:before="0" w:line="240" w:lineRule="auto"/>
      </w:pPr>
      <w:r>
        <w:rPr>
          <w:rFonts w:ascii="Times New Roman" w:hAnsi="Times New Roman" w:eastAsia="Times New Roman"/>
          <w:b w:val="0"/>
          <w:i w:val="0"/>
          <w:color w:val="000000"/>
          <w:sz w:val="24"/>
        </w:rPr>
        <w:t>Streamlit: title, sidebar mode, example questions, chat history, source links, clear conversation. CPU path: Retrieve only.</w:t>
      </w:r>
    </w:p>
    <w:p>
      <w:pPr>
        <w:spacing w:after="120" w:before="240" w:line="240" w:lineRule="auto"/>
      </w:pPr>
      <w:r>
        <w:rPr>
          <w:rFonts w:ascii="Times New Roman" w:hAnsi="Times New Roman" w:eastAsia="Times New Roman"/>
          <w:b/>
          <w:i w:val="0"/>
          <w:color w:val="000000"/>
          <w:sz w:val="26"/>
        </w:rPr>
        <w:t>G. Flow Diagram</w:t>
      </w:r>
    </w:p>
    <w:p>
      <w:pPr>
        <w:spacing w:after="200" w:before="0" w:line="240" w:lineRule="auto"/>
      </w:pPr>
      <w:r>
        <w:rPr>
          <w:rFonts w:ascii="Times New Roman" w:hAnsi="Times New Roman" w:eastAsia="Times New Roman"/>
          <w:b w:val="0"/>
          <w:i w:val="0"/>
          <w:color w:val="000000"/>
          <w:sz w:val="20"/>
        </w:rPr>
        <w:t>User → Streamlit Chat → Query Processing → Retriever → FAISS</w:t>
        <w:br/>
        <w:t xml:space="preserve">                              ↓</w:t>
        <w:br/>
        <w:t xml:space="preserve">                    Relevant Domain Context</w:t>
        <w:br/>
        <w:t xml:space="preserve">                              ↓</w:t>
        <w:br/>
        <w:t xml:space="preserve">                    HF LLM (± LoRA) → Grounded Response + Sources</w:t>
      </w:r>
    </w:p>
    <w:p>
      <w:pPr>
        <w:spacing w:after="160" w:before="0" w:line="240" w:lineRule="auto"/>
      </w:pPr>
      <w:r>
        <w:rPr>
          <w:rFonts w:ascii="Times New Roman" w:hAnsi="Times New Roman" w:eastAsia="Times New Roman"/>
          <w:b w:val="0"/>
          <w:i w:val="0"/>
          <w:color w:val="000000"/>
          <w:sz w:val="24"/>
        </w:rPr>
        <w:t>Insert experiments/results/tables/figures/ PNGs as Figures 1–5 (training loss, eval loss, retrieval top-k, retrieval by category, retrieval by difficulty).</w:t>
      </w:r>
    </w:p>
    <w:p>
      <w:pPr>
        <w:spacing w:after="160" w:before="320" w:line="240" w:lineRule="auto"/>
      </w:pPr>
      <w:r>
        <w:rPr>
          <w:rFonts w:ascii="Times New Roman" w:hAnsi="Times New Roman" w:eastAsia="Times New Roman"/>
          <w:b/>
          <w:i w:val="0"/>
          <w:color w:val="000000"/>
          <w:sz w:val="28"/>
        </w:rPr>
        <w:t>References</w:t>
      </w:r>
    </w:p>
    <w:p>
      <w:pPr>
        <w:spacing w:after="160" w:before="0" w:line="240" w:lineRule="auto"/>
      </w:pPr>
      <w:r>
        <w:rPr>
          <w:rFonts w:ascii="Times New Roman" w:hAnsi="Times New Roman" w:eastAsia="Times New Roman"/>
          <w:b w:val="0"/>
          <w:i w:val="0"/>
          <w:color w:val="000000"/>
          <w:sz w:val="24"/>
        </w:rPr>
        <w:t>Brown, T. B. et al. (2020) ‘Language models are few-shot learners’, in *Advances in Neural Information Processing Systems 33*.</w:t>
      </w:r>
    </w:p>
    <w:p>
      <w:pPr>
        <w:spacing w:after="160" w:before="0" w:line="240" w:lineRule="auto"/>
      </w:pPr>
      <w:r>
        <w:rPr>
          <w:rFonts w:ascii="Times New Roman" w:hAnsi="Times New Roman" w:eastAsia="Times New Roman"/>
          <w:b w:val="0"/>
          <w:i w:val="0"/>
          <w:color w:val="000000"/>
          <w:sz w:val="24"/>
        </w:rPr>
        <w:t>Dettmers, T., Pagnoni, A., Holtzman, A. and Zettlemoyer, L. (2023) ‘QLoRA: Efficient finetuning of quantized LLMs’, in *Advances in Neural Information Processing Systems 36*.</w:t>
      </w:r>
    </w:p>
    <w:p>
      <w:pPr>
        <w:spacing w:after="160" w:before="0" w:line="240" w:lineRule="auto"/>
      </w:pPr>
      <w:r>
        <w:rPr>
          <w:rFonts w:ascii="Times New Roman" w:hAnsi="Times New Roman" w:eastAsia="Times New Roman"/>
          <w:b w:val="0"/>
          <w:i w:val="0"/>
          <w:color w:val="000000"/>
          <w:sz w:val="24"/>
        </w:rPr>
        <w:t>Devlin, J., Chang, M.-W., Lee, K. and Toutanova, K. (2019) ‘BERT: Pre-training of deep bidirectional transformers for language understanding’, in *Proceedings of NAACL-HLT*.</w:t>
      </w:r>
    </w:p>
    <w:p>
      <w:pPr>
        <w:spacing w:after="160" w:before="0" w:line="240" w:lineRule="auto"/>
      </w:pPr>
      <w:r>
        <w:rPr>
          <w:rFonts w:ascii="Times New Roman" w:hAnsi="Times New Roman" w:eastAsia="Times New Roman"/>
          <w:b w:val="0"/>
          <w:i w:val="0"/>
          <w:color w:val="000000"/>
          <w:sz w:val="24"/>
        </w:rPr>
        <w:t>Gao, Y. et al. (2023) ‘Retrieval-augmented generation for large language models: A survey’. *arXiv preprint* arXiv:2312.10997.</w:t>
      </w:r>
    </w:p>
    <w:p>
      <w:pPr>
        <w:spacing w:after="160" w:before="0" w:line="240" w:lineRule="auto"/>
      </w:pPr>
      <w:r>
        <w:rPr>
          <w:rFonts w:ascii="Times New Roman" w:hAnsi="Times New Roman" w:eastAsia="Times New Roman"/>
          <w:b w:val="0"/>
          <w:i w:val="0"/>
          <w:color w:val="000000"/>
          <w:sz w:val="24"/>
        </w:rPr>
        <w:t>Hu, E. J. et al. (2022) ‘LoRA: Low-rank adaptation of large language models’, in *International Conference on Learning Representations*.</w:t>
      </w:r>
    </w:p>
    <w:p>
      <w:pPr>
        <w:spacing w:after="160" w:before="0" w:line="240" w:lineRule="auto"/>
      </w:pPr>
      <w:r>
        <w:rPr>
          <w:rFonts w:ascii="Times New Roman" w:hAnsi="Times New Roman" w:eastAsia="Times New Roman"/>
          <w:b w:val="0"/>
          <w:i w:val="0"/>
          <w:color w:val="000000"/>
          <w:sz w:val="24"/>
        </w:rPr>
        <w:t>Johnson, J., Douze, M. and Jégou, H. (2019) ‘Billion-scale similarity search with GPUs’, *IEEE Transactions on Big Data*, 7(3), pp. 535–547.</w:t>
      </w:r>
    </w:p>
    <w:p>
      <w:pPr>
        <w:spacing w:after="160" w:before="0" w:line="240" w:lineRule="auto"/>
      </w:pPr>
      <w:r>
        <w:rPr>
          <w:rFonts w:ascii="Times New Roman" w:hAnsi="Times New Roman" w:eastAsia="Times New Roman"/>
          <w:b w:val="0"/>
          <w:i w:val="0"/>
          <w:color w:val="000000"/>
          <w:sz w:val="24"/>
        </w:rPr>
        <w:t>Karpukhin, V. et al. (2020) ‘Dense passage retrieval for open-domain question answering’, in *Proceedings of EMNLP*.</w:t>
      </w:r>
    </w:p>
    <w:p>
      <w:pPr>
        <w:spacing w:after="160" w:before="0" w:line="240" w:lineRule="auto"/>
      </w:pPr>
      <w:r>
        <w:rPr>
          <w:rFonts w:ascii="Times New Roman" w:hAnsi="Times New Roman" w:eastAsia="Times New Roman"/>
          <w:b w:val="0"/>
          <w:i w:val="0"/>
          <w:color w:val="000000"/>
          <w:sz w:val="24"/>
        </w:rPr>
        <w:t>Lewis, P. et al. (2020) ‘Retrieval-augmented generation for knowledge-intensive NLP tasks’, in *Advances in Neural Information Processing Systems 33*.</w:t>
      </w:r>
    </w:p>
    <w:p>
      <w:pPr>
        <w:spacing w:after="160" w:before="0" w:line="240" w:lineRule="auto"/>
      </w:pPr>
      <w:r>
        <w:rPr>
          <w:rFonts w:ascii="Times New Roman" w:hAnsi="Times New Roman" w:eastAsia="Times New Roman"/>
          <w:b w:val="0"/>
          <w:i w:val="0"/>
          <w:color w:val="000000"/>
          <w:sz w:val="24"/>
        </w:rPr>
        <w:t>Lin, C.-Y. (2004) ‘ROUGE: A package for automatic evaluation of summaries’, in *Text Summarization Branches Out (ACL Workshop)*.</w:t>
      </w:r>
    </w:p>
    <w:p>
      <w:pPr>
        <w:spacing w:after="160" w:before="0" w:line="240" w:lineRule="auto"/>
      </w:pPr>
      <w:r>
        <w:rPr>
          <w:rFonts w:ascii="Times New Roman" w:hAnsi="Times New Roman" w:eastAsia="Times New Roman"/>
          <w:b w:val="0"/>
          <w:i w:val="0"/>
          <w:color w:val="000000"/>
          <w:sz w:val="24"/>
        </w:rPr>
        <w:t>Ouyang, L. et al. (2022) ‘Training language models to follow instructions with human feedback’, in *Advances in Neural Information Processing Systems 35*.</w:t>
      </w:r>
    </w:p>
    <w:p>
      <w:pPr>
        <w:spacing w:after="160" w:before="0" w:line="240" w:lineRule="auto"/>
      </w:pPr>
      <w:r>
        <w:rPr>
          <w:rFonts w:ascii="Times New Roman" w:hAnsi="Times New Roman" w:eastAsia="Times New Roman"/>
          <w:b w:val="0"/>
          <w:i w:val="0"/>
          <w:color w:val="000000"/>
          <w:sz w:val="24"/>
        </w:rPr>
        <w:t>Reimers, N. and Gurevych, I. (2019) ‘Sentence-BERT: Sentence embeddings using Siamese BERT-networks’, in *Proceedings of EMNLP-IJCNLP*.</w:t>
      </w:r>
    </w:p>
    <w:p>
      <w:pPr>
        <w:spacing w:after="160" w:before="0" w:line="240" w:lineRule="auto"/>
      </w:pPr>
      <w:r>
        <w:rPr>
          <w:rFonts w:ascii="Times New Roman" w:hAnsi="Times New Roman" w:eastAsia="Times New Roman"/>
          <w:b w:val="0"/>
          <w:i w:val="0"/>
          <w:color w:val="000000"/>
          <w:sz w:val="24"/>
        </w:rPr>
        <w:t>Vaswani, A. et al. (2017) ‘Attention is all you need’, in *Advances in Neural Information Processing Systems 30*.</w:t>
      </w:r>
    </w:p>
    <w:p>
      <w:pPr>
        <w:spacing w:after="160" w:before="0" w:line="240" w:lineRule="auto"/>
      </w:pPr>
      <w:r>
        <w:rPr>
          <w:rFonts w:ascii="Times New Roman" w:hAnsi="Times New Roman" w:eastAsia="Times New Roman"/>
          <w:b w:val="0"/>
          <w:i w:val="0"/>
          <w:color w:val="000000"/>
          <w:sz w:val="24"/>
        </w:rPr>
        <w:t>Yang, A. et al. (2024) ‘Qwen2.5 technical report’. *arXiv preprint* arXiv:2412.15115.</w:t>
      </w:r>
    </w:p>
    <w:p>
      <w:pPr>
        <w:spacing w:after="160" w:before="320" w:line="240" w:lineRule="auto"/>
      </w:pPr>
      <w:r>
        <w:rPr>
          <w:rFonts w:ascii="Times New Roman" w:hAnsi="Times New Roman" w:eastAsia="Times New Roman"/>
          <w:b/>
          <w:i w:val="0"/>
          <w:color w:val="000000"/>
          <w:sz w:val="28"/>
        </w:rPr>
        <w:t>Author Details</w:t>
      </w:r>
    </w:p>
    <w:p>
      <w:pPr>
        <w:spacing w:after="80" w:before="0" w:line="240" w:lineRule="auto"/>
        <w:jc w:val="center"/>
      </w:pPr>
      <w:r>
        <w:rPr>
          <w:rFonts w:ascii="Times New Roman" w:hAnsi="Times New Roman" w:eastAsia="Times New Roman"/>
          <w:b w:val="0"/>
          <w:i/>
          <w:color w:val="000000"/>
          <w:sz w:val="24"/>
        </w:rPr>
        <w:t xml:space="preserve">Author: [Your Name]  </w:t>
      </w:r>
    </w:p>
    <w:p>
      <w:pPr>
        <w:spacing w:after="160" w:before="0" w:line="240" w:lineRule="auto"/>
      </w:pPr>
      <w:r>
        <w:rPr>
          <w:rFonts w:ascii="Times New Roman" w:hAnsi="Times New Roman" w:eastAsia="Times New Roman"/>
          <w:b w:val="0"/>
          <w:i w:val="0"/>
          <w:color w:val="000000"/>
          <w:sz w:val="24"/>
        </w:rPr>
        <w:t xml:space="preserve">Programme: Master's in CS: Artificial Intelligence and Machine Learning  </w:t>
      </w:r>
    </w:p>
    <w:p>
      <w:pPr>
        <w:spacing w:after="160" w:before="0" w:line="240" w:lineRule="auto"/>
      </w:pPr>
      <w:r>
        <w:rPr>
          <w:rFonts w:ascii="Times New Roman" w:hAnsi="Times New Roman" w:eastAsia="Times New Roman"/>
          <w:b w:val="0"/>
          <w:i w:val="0"/>
          <w:color w:val="000000"/>
          <w:sz w:val="24"/>
        </w:rPr>
        <w:t xml:space="preserve">Institution: Woolf University  </w:t>
      </w:r>
    </w:p>
    <w:p>
      <w:pPr>
        <w:spacing w:after="160" w:before="0" w:line="240" w:lineRule="auto"/>
      </w:pPr>
      <w:r>
        <w:rPr>
          <w:rFonts w:ascii="Times New Roman" w:hAnsi="Times New Roman" w:eastAsia="Times New Roman"/>
          <w:b w:val="0"/>
          <w:i w:val="0"/>
          <w:color w:val="000000"/>
          <w:sz w:val="24"/>
        </w:rPr>
        <w:t xml:space="preserve">Project: DataPilot AI — An AI Copilot for Business Intelligence and Data Engineering  </w:t>
      </w:r>
    </w:p>
    <w:p>
      <w:pPr>
        <w:spacing w:after="160" w:before="0" w:line="240" w:lineRule="auto"/>
      </w:pPr>
      <w:r>
        <w:rPr>
          <w:rFonts w:ascii="Times New Roman" w:hAnsi="Times New Roman" w:eastAsia="Times New Roman"/>
          <w:b w:val="0"/>
          <w:i w:val="0"/>
          <w:color w:val="000000"/>
          <w:sz w:val="24"/>
        </w:rPr>
        <w:t>Implementation date: August 2026</w:t>
      </w:r>
    </w:p>
    <w:p>
      <w:pPr>
        <w:spacing w:after="160" w:before="320" w:line="240" w:lineRule="auto"/>
      </w:pPr>
      <w:r>
        <w:rPr>
          <w:rFonts w:ascii="Times New Roman" w:hAnsi="Times New Roman" w:eastAsia="Times New Roman"/>
          <w:b/>
          <w:i w:val="0"/>
          <w:color w:val="000000"/>
          <w:sz w:val="28"/>
        </w:rPr>
        <w:t>Acknowledgement</w:t>
      </w:r>
    </w:p>
    <w:p>
      <w:pPr>
        <w:spacing w:after="160" w:before="0" w:line="240" w:lineRule="auto"/>
      </w:pPr>
      <w:r>
        <w:rPr>
          <w:rFonts w:ascii="Times New Roman" w:hAnsi="Times New Roman" w:eastAsia="Times New Roman"/>
          <w:b w:val="0"/>
          <w:i w:val="0"/>
          <w:color w:val="000000"/>
          <w:sz w:val="24"/>
        </w:rPr>
        <w:t>I thank Woolf University and the Deep Learning for NLP module for the research framing. Official documentation remains the property of the PostgreSQL Global Development Group, Amazon Web Services, Microsoft, the Apache Software Foundation, and dbt Labs. This academic project stores provenance and quotes under their respective terms. Experimental numbers are taken only from executed repository artefacts.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