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rFonts w:ascii="Calibri" w:hAnsi="Calibri"/>
          <w:b/>
          <w:color w:val="7C3AED"/>
          <w:sz w:val="64"/>
        </w:rPr>
        <w:t>NovWrite</w:t>
      </w:r>
    </w:p>
    <w:p>
      <w:pPr>
        <w:spacing w:after="480"/>
        <w:jc w:val="center"/>
      </w:pPr>
      <w:r>
        <w:rPr>
          <w:rFonts w:ascii="Calibri" w:hAnsi="Calibri"/>
          <w:i/>
          <w:color w:val="4B5563"/>
          <w:sz w:val="30"/>
        </w:rPr>
        <w:t>A Continuity-First Novel Creation Platform with a User-Defined Story Universe Engine</w:t>
      </w:r>
    </w:p>
    <w:p>
      <w:pPr>
        <w:spacing w:after="720"/>
        <w:jc w:val="center"/>
      </w:pPr>
      <w:r>
        <w:rPr>
          <w:rFonts w:ascii="Calibri" w:hAnsi="Calibri"/>
          <w:b/>
          <w:color w:val="DC2626"/>
          <w:sz w:val="24"/>
        </w:rPr>
        <w:t>B.Tech Major Project Technical Report &amp; System Architecture Specification</w:t>
      </w:r>
    </w:p>
    <w:p>
      <w:pPr>
        <w:spacing w:before="800" w:after="800"/>
        <w:jc w:val="center"/>
      </w:pPr>
      <w:r>
        <w:rPr>
          <w:rFonts w:ascii="Calibri" w:hAnsi="Calibri"/>
          <w:color w:val="374151"/>
          <w:sz w:val="22"/>
        </w:rPr>
        <w:t>An Authoritative Canonical State Tracking and Continuity Verification Framework</w:t>
        <w:br/>
        <w:t>for Long-Form Generative Narrative Engineering</w:t>
        <w:br/>
        <w:br/>
        <w:t>Department of Computer Science &amp; Engineering</w:t>
      </w:r>
    </w:p>
    <w:tbl>
      <w:tblPr>
        <w:tblW w:type="auto" w:w="0"/>
        <w:jc w:val="center"/>
        <w:tblLook w:firstColumn="1" w:firstRow="1" w:lastColumn="0" w:lastRow="0" w:noHBand="0" w:noVBand="1" w:val="04A0"/>
      </w:tblPr>
      <w:tblGrid>
        <w:gridCol w:w="4680"/>
        <w:gridCol w:w="4680"/>
      </w:tblGrid>
      <w:tr>
        <w:tc>
          <w:tcPr>
            <w:tcW w:type="dxa" w:w="3168"/>
            <w:tcMar>
              <w:top w:w="40" w:type="dxa"/>
              <w:bottom w:w="40" w:type="dxa"/>
              <w:left w:w="60" w:type="dxa"/>
              <w:right w:w="60" w:type="dxa"/>
            </w:tcMar>
          </w:tcPr>
          <w:p>
            <w:r>
              <w:rPr>
                <w:b/>
                <w:color w:val="4B5563"/>
              </w:rPr>
              <w:t>Author / Developer:</w:t>
            </w:r>
          </w:p>
        </w:tc>
        <w:tc>
          <w:tcPr>
            <w:tcW w:type="dxa" w:w="6192"/>
            <w:tcMar>
              <w:top w:w="40" w:type="dxa"/>
              <w:bottom w:w="40" w:type="dxa"/>
              <w:left w:w="60" w:type="dxa"/>
              <w:right w:w="60" w:type="dxa"/>
            </w:tcMar>
          </w:tcPr>
          <w:p>
            <w:r>
              <w:rPr>
                <w:color w:val="111827"/>
              </w:rPr>
              <w:t>Yogesh Kumar Mallik (Yogesh-Kumar-Mallik-dev)</w:t>
            </w:r>
          </w:p>
        </w:tc>
      </w:tr>
      <w:tr>
        <w:tc>
          <w:tcPr>
            <w:tcW w:type="dxa" w:w="3168"/>
            <w:tcMar>
              <w:top w:w="40" w:type="dxa"/>
              <w:bottom w:w="40" w:type="dxa"/>
              <w:left w:w="60" w:type="dxa"/>
              <w:right w:w="60" w:type="dxa"/>
            </w:tcMar>
          </w:tcPr>
          <w:p>
            <w:r>
              <w:rPr>
                <w:b/>
                <w:color w:val="4B5563"/>
              </w:rPr>
              <w:t>Repository Link:</w:t>
            </w:r>
          </w:p>
        </w:tc>
        <w:tc>
          <w:tcPr>
            <w:tcW w:type="dxa" w:w="6192"/>
            <w:tcMar>
              <w:top w:w="40" w:type="dxa"/>
              <w:bottom w:w="40" w:type="dxa"/>
              <w:left w:w="60" w:type="dxa"/>
              <w:right w:w="60" w:type="dxa"/>
            </w:tcMar>
          </w:tcPr>
          <w:p>
            <w:r>
              <w:rPr>
                <w:color w:val="111827"/>
              </w:rPr>
              <w:t>https://github.com/Yogesh-Kumar-Mallik-dev/NovWrite</w:t>
            </w:r>
          </w:p>
        </w:tc>
      </w:tr>
      <w:tr>
        <w:tc>
          <w:tcPr>
            <w:tcW w:type="dxa" w:w="3168"/>
            <w:tcMar>
              <w:top w:w="40" w:type="dxa"/>
              <w:bottom w:w="40" w:type="dxa"/>
              <w:left w:w="60" w:type="dxa"/>
              <w:right w:w="60" w:type="dxa"/>
            </w:tcMar>
          </w:tcPr>
          <w:p>
            <w:r>
              <w:rPr>
                <w:b/>
                <w:color w:val="4B5563"/>
              </w:rPr>
              <w:t>Project Status:</w:t>
            </w:r>
          </w:p>
        </w:tc>
        <w:tc>
          <w:tcPr>
            <w:tcW w:type="dxa" w:w="6192"/>
            <w:tcMar>
              <w:top w:w="40" w:type="dxa"/>
              <w:bottom w:w="40" w:type="dxa"/>
              <w:left w:w="60" w:type="dxa"/>
              <w:right w:w="60" w:type="dxa"/>
            </w:tcMar>
          </w:tcPr>
          <w:p>
            <w:r>
              <w:rPr>
                <w:color w:val="111827"/>
              </w:rPr>
              <w:t>Technical Architecture &amp; System Baseline Locked (v1.3)</w:t>
            </w:r>
          </w:p>
        </w:tc>
      </w:tr>
      <w:tr>
        <w:tc>
          <w:tcPr>
            <w:tcW w:type="dxa" w:w="3168"/>
            <w:tcMar>
              <w:top w:w="40" w:type="dxa"/>
              <w:bottom w:w="40" w:type="dxa"/>
              <w:left w:w="60" w:type="dxa"/>
              <w:right w:w="60" w:type="dxa"/>
            </w:tcMar>
          </w:tcPr>
          <w:p>
            <w:r>
              <w:rPr>
                <w:b/>
                <w:color w:val="4B5563"/>
              </w:rPr>
              <w:t>Date of Submission:</w:t>
            </w:r>
          </w:p>
        </w:tc>
        <w:tc>
          <w:tcPr>
            <w:tcW w:type="dxa" w:w="6192"/>
            <w:tcMar>
              <w:top w:w="40" w:type="dxa"/>
              <w:bottom w:w="40" w:type="dxa"/>
              <w:left w:w="60" w:type="dxa"/>
              <w:right w:w="60" w:type="dxa"/>
            </w:tcMar>
          </w:tcPr>
          <w:p>
            <w:r>
              <w:rPr>
                <w:color w:val="111827"/>
              </w:rPr>
              <w:t>September 2026</w:t>
            </w:r>
          </w:p>
        </w:tc>
      </w:tr>
    </w:tbl>
    <w:p>
      <w:r>
        <w:br w:type="page"/>
      </w:r>
    </w:p>
    <w:p>
      <w:pPr>
        <w:pStyle w:val="Heading1"/>
      </w:pPr>
      <w:r>
        <w:rPr>
          <w:color w:val="7C3AED"/>
        </w:rPr>
        <w:t>Executive Summary &amp; Abstract</w:t>
      </w:r>
    </w:p>
    <w:p>
      <w:r>
        <w:t>Modern artificial intelligence applications in creative writing face a critical bottleneck: Large Language Models (LLMs) lack persistent, authoritative memory across long-form multi-chapter narratives. Because LLMs operate probabilistically over bounded context windows, they frequently suffer from catastrophic memory drift, hallucinations, and continuity contradictions (e.g., deceased characters reappearing, item ownership inconsistencies, power scaling violations, and retroactive timeline confusion). Existing solutions either rely on naive vector similarity search or attempt to cram entire story histories into expanded context windows, both of which fail to provide deterministic guarantees of narrative canon.</w:t>
      </w:r>
    </w:p>
    <w:p>
      <w:r>
        <w:t>NovWrite addresses this foundational limitation by establishing a continuity-first novel creation architecture grounded in the principle: Canon Over AI Memory. Rather than treating a novel as flat, unstructured prose documents, NovWrite formalizes the fictional universe as a deterministic state machine powered by event-sourcing state reconstruction, dynamic schema definitions, and explainable continuity verification algorithms.</w:t>
      </w:r>
    </w:p>
    <w:tbl>
      <w:tblPr>
        <w:tblW w:type="auto" w:w="0"/>
        <w:jc w:val="center"/>
        <w:tblLayout w:type="fixed"/>
        <w:tblLook w:firstColumn="1" w:firstRow="1" w:lastColumn="0" w:lastRow="0" w:noHBand="0" w:noVBand="1" w:val="04A0"/>
      </w:tblPr>
      <w:tblGrid>
        <w:gridCol w:w="9360"/>
      </w:tblGrid>
      <w:tr>
        <w:tc>
          <w:tcPr>
            <w:tcW w:type="dxa" w:w="9360"/>
            <w:shd w:fill="F5F3FF"/>
            <w:tcMar>
              <w:top w:w="120" w:type="dxa"/>
              <w:bottom w:w="120" w:type="dxa"/>
              <w:left w:w="180" w:type="dxa"/>
              <w:right w:w="180" w:type="dxa"/>
            </w:tcMar>
            <w:tcBorders>
              <w:top w:val="none" w:sz="0" w:space="0" w:color="auto"/>
              <w:left w:val="single" w:sz="24" w:space="0" w:color="7C3AED"/>
              <w:bottom w:val="none" w:sz="0" w:space="0" w:color="auto"/>
              <w:right w:val="none" w:sz="0" w:space="0" w:color="auto"/>
            </w:tcBorders>
          </w:tcPr>
          <w:p>
            <w:pPr>
              <w:spacing w:before="40" w:after="40"/>
            </w:pPr>
            <w:r>
              <w:rPr>
                <w:rFonts w:ascii="Calibri" w:hAnsi="Calibri"/>
                <w:b/>
                <w:color w:val="5B21B6"/>
                <w:sz w:val="20"/>
              </w:rPr>
              <w:t xml:space="preserve">CORE THESIS: </w:t>
            </w:r>
            <w:r>
              <w:rPr>
                <w:rFonts w:ascii="Calibri" w:hAnsi="Calibri"/>
                <w:color w:val="1F2937"/>
                <w:sz w:val="20"/>
              </w:rPr>
              <w:t>Core Architectural Thesis: Fictional world state is stored deterministically in an authoritative relational + dynamic JSONB database (PostgreSQL 18 with pgvector), not implicitly inside probabilistic AI context windows. AI models operate as stateless transformation engines that receive authoritative world state as prompt context.</w:t>
            </w:r>
          </w:p>
        </w:tc>
      </w:tr>
    </w:tbl>
    <w:p>
      <w:r>
        <w:t>This report outlines the complete technical architecture of the NovWrite platform, spanning its hybrid multi-service backend (Go 1.23+ Core API, TypeScript Prisma Data Service, PostgreSQL 18 with pgvector, and Redis 7 Multi-Tier Cache), its decoupled multi-platform frontend architecture (SvelteKit Web, Tauri 2 Desktop, and React Native / Expo Mobile with React Native Reusables), and its deterministic continuity verification pipeline.</w:t>
      </w:r>
    </w:p>
    <w:p>
      <w:r>
        <w:br w:type="page"/>
      </w:r>
    </w:p>
    <w:p>
      <w:pPr>
        <w:pStyle w:val="Heading1"/>
      </w:pPr>
      <w:r>
        <w:rPr>
          <w:color w:val="7C3AED"/>
        </w:rPr>
        <w:t>1. Introduction &amp; Problem Definition</w:t>
      </w:r>
    </w:p>
    <w:p>
      <w:pPr>
        <w:pStyle w:val="Heading2"/>
      </w:pPr>
      <w:r>
        <w:t>1.1 Background &amp; Motivation</w:t>
      </w:r>
    </w:p>
    <w:p>
      <w:r>
        <w:t>Long-form creative writing in complex fictional genres (fantasy, science fiction, xianxia cultivation, alternate history, mystery) requires managing thousands of interconnected entities, hierarchical progression tiers, multi-faction affiliations, and causal timelines. A typical web novel or fantasy series spans hundreds of chapters, tens of thousands of character interactions, and dynamic item transfers. Human authors struggle to maintain perfect continuity across such scales, while existing AI writing tools exacerbate the problem through hallucinations.</w:t>
      </w:r>
    </w:p>
    <w:p>
      <w:pPr>
        <w:pStyle w:val="Heading2"/>
      </w:pPr>
      <w:r>
        <w:t>1.2 Limitations of Existing Solutions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7C3AED"/>
            <w:tcMar>
              <w:top w:w="100" w:type="dxa"/>
              <w:bottom w:w="100" w:type="dxa"/>
              <w:left w:w="120" w:type="dxa"/>
              <w:right w:w="120" w:type="dxa"/>
            </w:tcMar>
          </w:tcPr>
          <w:p>
            <w:pPr>
              <w:jc w:val="left"/>
            </w:pPr>
            <w:r>
              <w:rPr>
                <w:rFonts w:ascii="Calibri" w:hAnsi="Calibri"/>
                <w:b/>
                <w:color w:val="FFFFFF"/>
                <w:sz w:val="19"/>
              </w:rPr>
              <w:t>Platform / Tool</w:t>
            </w:r>
          </w:p>
        </w:tc>
        <w:tc>
          <w:tcPr>
            <w:tcW w:type="dxa" w:w="1872"/>
            <w:shd w:fill="7C3AED"/>
            <w:tcMar>
              <w:top w:w="100" w:type="dxa"/>
              <w:bottom w:w="100" w:type="dxa"/>
              <w:left w:w="120" w:type="dxa"/>
              <w:right w:w="120" w:type="dxa"/>
            </w:tcMar>
          </w:tcPr>
          <w:p>
            <w:pPr>
              <w:jc w:val="left"/>
            </w:pPr>
            <w:r>
              <w:rPr>
                <w:rFonts w:ascii="Calibri" w:hAnsi="Calibri"/>
                <w:b/>
                <w:color w:val="FFFFFF"/>
                <w:sz w:val="19"/>
              </w:rPr>
              <w:t>Core Architecture</w:t>
            </w:r>
          </w:p>
        </w:tc>
        <w:tc>
          <w:tcPr>
            <w:tcW w:type="dxa" w:w="2016"/>
            <w:shd w:fill="7C3AED"/>
            <w:tcMar>
              <w:top w:w="100" w:type="dxa"/>
              <w:bottom w:w="100" w:type="dxa"/>
              <w:left w:w="120" w:type="dxa"/>
              <w:right w:w="120" w:type="dxa"/>
            </w:tcMar>
          </w:tcPr>
          <w:p>
            <w:pPr>
              <w:jc w:val="left"/>
            </w:pPr>
            <w:r>
              <w:rPr>
                <w:rFonts w:ascii="Calibri" w:hAnsi="Calibri"/>
                <w:b/>
                <w:color w:val="FFFFFF"/>
                <w:sz w:val="19"/>
              </w:rPr>
              <w:t>Continuity Tracking</w:t>
            </w:r>
          </w:p>
        </w:tc>
        <w:tc>
          <w:tcPr>
            <w:tcW w:type="dxa" w:w="1872"/>
            <w:shd w:fill="7C3AED"/>
            <w:tcMar>
              <w:top w:w="100" w:type="dxa"/>
              <w:bottom w:w="100" w:type="dxa"/>
              <w:left w:w="120" w:type="dxa"/>
              <w:right w:w="120" w:type="dxa"/>
            </w:tcMar>
          </w:tcPr>
          <w:p>
            <w:pPr>
              <w:jc w:val="left"/>
            </w:pPr>
            <w:r>
              <w:rPr>
                <w:rFonts w:ascii="Calibri" w:hAnsi="Calibri"/>
                <w:b/>
                <w:color w:val="FFFFFF"/>
                <w:sz w:val="19"/>
              </w:rPr>
              <w:t>Dynamic Universe Customization</w:t>
            </w:r>
          </w:p>
        </w:tc>
        <w:tc>
          <w:tcPr>
            <w:tcW w:type="dxa" w:w="1728"/>
            <w:shd w:fill="7C3AED"/>
            <w:tcMar>
              <w:top w:w="100" w:type="dxa"/>
              <w:bottom w:w="100" w:type="dxa"/>
              <w:left w:w="120" w:type="dxa"/>
              <w:right w:w="120" w:type="dxa"/>
            </w:tcMar>
          </w:tcPr>
          <w:p>
            <w:pPr>
              <w:jc w:val="left"/>
            </w:pPr>
            <w:r>
              <w:rPr>
                <w:rFonts w:ascii="Calibri" w:hAnsi="Calibri"/>
                <w:b/>
                <w:color w:val="FFFFFF"/>
                <w:sz w:val="19"/>
              </w:rPr>
              <w:t>Explainability</w:t>
            </w:r>
          </w:p>
        </w:tc>
      </w:tr>
      <w:tr>
        <w:tc>
          <w:tcPr>
            <w:tcW w:type="dxa" w:w="1872"/>
            <w:shd w:fill="FFFFFF"/>
            <w:tcMar>
              <w:top w:w="80" w:type="dxa"/>
              <w:bottom w:w="80" w:type="dxa"/>
              <w:left w:w="120" w:type="dxa"/>
              <w:right w:w="120" w:type="dxa"/>
            </w:tcMar>
          </w:tcPr>
          <w:p>
            <w:pPr>
              <w:jc w:val="left"/>
            </w:pPr>
            <w:r>
              <w:rPr>
                <w:rFonts w:ascii="Calibri" w:hAnsi="Calibri"/>
                <w:color w:val="1F2937"/>
                <w:sz w:val="18"/>
              </w:rPr>
              <w:t>SudoWrite / NovelAI</w:t>
            </w:r>
          </w:p>
        </w:tc>
        <w:tc>
          <w:tcPr>
            <w:tcW w:type="dxa" w:w="1872"/>
            <w:shd w:fill="FFFFFF"/>
            <w:tcMar>
              <w:top w:w="80" w:type="dxa"/>
              <w:bottom w:w="80" w:type="dxa"/>
              <w:left w:w="120" w:type="dxa"/>
              <w:right w:w="120" w:type="dxa"/>
            </w:tcMar>
          </w:tcPr>
          <w:p>
            <w:pPr>
              <w:jc w:val="left"/>
            </w:pPr>
            <w:r>
              <w:rPr>
                <w:rFonts w:ascii="Calibri" w:hAnsi="Calibri"/>
                <w:color w:val="1F2937"/>
                <w:sz w:val="18"/>
              </w:rPr>
              <w:t>LLM Context Stuffing</w:t>
            </w:r>
          </w:p>
        </w:tc>
        <w:tc>
          <w:tcPr>
            <w:tcW w:type="dxa" w:w="2016"/>
            <w:shd w:fill="FFFFFF"/>
            <w:tcMar>
              <w:top w:w="80" w:type="dxa"/>
              <w:bottom w:w="80" w:type="dxa"/>
              <w:left w:w="120" w:type="dxa"/>
              <w:right w:w="120" w:type="dxa"/>
            </w:tcMar>
          </w:tcPr>
          <w:p>
            <w:pPr>
              <w:jc w:val="left"/>
            </w:pPr>
            <w:r>
              <w:rPr>
                <w:rFonts w:ascii="Calibri" w:hAnsi="Calibri"/>
                <w:color w:val="1F2937"/>
                <w:sz w:val="18"/>
              </w:rPr>
              <w:t>None (Probabilistic memory only)</w:t>
            </w:r>
          </w:p>
        </w:tc>
        <w:tc>
          <w:tcPr>
            <w:tcW w:type="dxa" w:w="1872"/>
            <w:shd w:fill="FFFFFF"/>
            <w:tcMar>
              <w:top w:w="80" w:type="dxa"/>
              <w:bottom w:w="80" w:type="dxa"/>
              <w:left w:w="120" w:type="dxa"/>
              <w:right w:w="120" w:type="dxa"/>
            </w:tcMar>
          </w:tcPr>
          <w:p>
            <w:pPr>
              <w:jc w:val="left"/>
            </w:pPr>
            <w:r>
              <w:rPr>
                <w:rFonts w:ascii="Calibri" w:hAnsi="Calibri"/>
                <w:color w:val="1F2937"/>
                <w:sz w:val="18"/>
              </w:rPr>
              <w:t>Rigid prompt tags</w:t>
            </w:r>
          </w:p>
        </w:tc>
        <w:tc>
          <w:tcPr>
            <w:tcW w:type="dxa" w:w="1728"/>
            <w:shd w:fill="FFFFFF"/>
            <w:tcMar>
              <w:top w:w="80" w:type="dxa"/>
              <w:bottom w:w="80" w:type="dxa"/>
              <w:left w:w="120" w:type="dxa"/>
              <w:right w:w="120" w:type="dxa"/>
            </w:tcMar>
          </w:tcPr>
          <w:p>
            <w:pPr>
              <w:jc w:val="left"/>
            </w:pPr>
            <w:r>
              <w:rPr>
                <w:rFonts w:ascii="Calibri" w:hAnsi="Calibri"/>
                <w:color w:val="1F2937"/>
                <w:sz w:val="18"/>
              </w:rPr>
              <w:t>Zero (No citations)</w:t>
            </w:r>
          </w:p>
        </w:tc>
      </w:tr>
      <w:tr>
        <w:tc>
          <w:tcPr>
            <w:tcW w:type="dxa" w:w="1872"/>
            <w:shd w:fill="F9FAFB"/>
            <w:tcMar>
              <w:top w:w="80" w:type="dxa"/>
              <w:bottom w:w="80" w:type="dxa"/>
              <w:left w:w="120" w:type="dxa"/>
              <w:right w:w="120" w:type="dxa"/>
            </w:tcMar>
          </w:tcPr>
          <w:p>
            <w:pPr>
              <w:jc w:val="left"/>
            </w:pPr>
            <w:r>
              <w:rPr>
                <w:rFonts w:ascii="Calibri" w:hAnsi="Calibri"/>
                <w:color w:val="1F2937"/>
                <w:sz w:val="18"/>
              </w:rPr>
              <w:t>Obsidian / World Anvil</w:t>
            </w:r>
          </w:p>
        </w:tc>
        <w:tc>
          <w:tcPr>
            <w:tcW w:type="dxa" w:w="1872"/>
            <w:shd w:fill="F9FAFB"/>
            <w:tcMar>
              <w:top w:w="80" w:type="dxa"/>
              <w:bottom w:w="80" w:type="dxa"/>
              <w:left w:w="120" w:type="dxa"/>
              <w:right w:w="120" w:type="dxa"/>
            </w:tcMar>
          </w:tcPr>
          <w:p>
            <w:pPr>
              <w:jc w:val="left"/>
            </w:pPr>
            <w:r>
              <w:rPr>
                <w:rFonts w:ascii="Calibri" w:hAnsi="Calibri"/>
                <w:color w:val="1F2937"/>
                <w:sz w:val="18"/>
              </w:rPr>
              <w:t>Static Markdown / Wiki</w:t>
            </w:r>
          </w:p>
        </w:tc>
        <w:tc>
          <w:tcPr>
            <w:tcW w:type="dxa" w:w="2016"/>
            <w:shd w:fill="F9FAFB"/>
            <w:tcMar>
              <w:top w:w="80" w:type="dxa"/>
              <w:bottom w:w="80" w:type="dxa"/>
              <w:left w:w="120" w:type="dxa"/>
              <w:right w:w="120" w:type="dxa"/>
            </w:tcMar>
          </w:tcPr>
          <w:p>
            <w:pPr>
              <w:jc w:val="left"/>
            </w:pPr>
            <w:r>
              <w:rPr>
                <w:rFonts w:ascii="Calibri" w:hAnsi="Calibri"/>
                <w:color w:val="1F2937"/>
                <w:sz w:val="18"/>
              </w:rPr>
              <w:t>Manual author tracking</w:t>
            </w:r>
          </w:p>
        </w:tc>
        <w:tc>
          <w:tcPr>
            <w:tcW w:type="dxa" w:w="1872"/>
            <w:shd w:fill="F9FAFB"/>
            <w:tcMar>
              <w:top w:w="80" w:type="dxa"/>
              <w:bottom w:w="80" w:type="dxa"/>
              <w:left w:w="120" w:type="dxa"/>
              <w:right w:w="120" w:type="dxa"/>
            </w:tcMar>
          </w:tcPr>
          <w:p>
            <w:pPr>
              <w:jc w:val="left"/>
            </w:pPr>
            <w:r>
              <w:rPr>
                <w:rFonts w:ascii="Calibri" w:hAnsi="Calibri"/>
                <w:color w:val="1F2937"/>
                <w:sz w:val="18"/>
              </w:rPr>
              <w:t>Custom fields / templates</w:t>
            </w:r>
          </w:p>
        </w:tc>
        <w:tc>
          <w:tcPr>
            <w:tcW w:type="dxa" w:w="1728"/>
            <w:shd w:fill="F9FAFB"/>
            <w:tcMar>
              <w:top w:w="80" w:type="dxa"/>
              <w:bottom w:w="80" w:type="dxa"/>
              <w:left w:w="120" w:type="dxa"/>
              <w:right w:w="120" w:type="dxa"/>
            </w:tcMar>
          </w:tcPr>
          <w:p>
            <w:pPr>
              <w:jc w:val="left"/>
            </w:pPr>
            <w:r>
              <w:rPr>
                <w:rFonts w:ascii="Calibri" w:hAnsi="Calibri"/>
                <w:color w:val="1F2937"/>
                <w:sz w:val="18"/>
              </w:rPr>
              <w:t>Manual human review</w:t>
            </w:r>
          </w:p>
        </w:tc>
      </w:tr>
      <w:tr>
        <w:tc>
          <w:tcPr>
            <w:tcW w:type="dxa" w:w="1872"/>
            <w:shd w:fill="FFFFFF"/>
            <w:tcMar>
              <w:top w:w="80" w:type="dxa"/>
              <w:bottom w:w="80" w:type="dxa"/>
              <w:left w:w="120" w:type="dxa"/>
              <w:right w:w="120" w:type="dxa"/>
            </w:tcMar>
          </w:tcPr>
          <w:p>
            <w:pPr>
              <w:jc w:val="left"/>
            </w:pPr>
            <w:r>
              <w:rPr>
                <w:rFonts w:ascii="Calibri" w:hAnsi="Calibri"/>
                <w:color w:val="1F2937"/>
                <w:sz w:val="18"/>
              </w:rPr>
              <w:t>Standard RAG Systems</w:t>
            </w:r>
          </w:p>
        </w:tc>
        <w:tc>
          <w:tcPr>
            <w:tcW w:type="dxa" w:w="1872"/>
            <w:shd w:fill="FFFFFF"/>
            <w:tcMar>
              <w:top w:w="80" w:type="dxa"/>
              <w:bottom w:w="80" w:type="dxa"/>
              <w:left w:w="120" w:type="dxa"/>
              <w:right w:w="120" w:type="dxa"/>
            </w:tcMar>
          </w:tcPr>
          <w:p>
            <w:pPr>
              <w:jc w:val="left"/>
            </w:pPr>
            <w:r>
              <w:rPr>
                <w:rFonts w:ascii="Calibri" w:hAnsi="Calibri"/>
                <w:color w:val="1F2937"/>
                <w:sz w:val="18"/>
              </w:rPr>
              <w:t>Vector Embedding Search</w:t>
            </w:r>
          </w:p>
        </w:tc>
        <w:tc>
          <w:tcPr>
            <w:tcW w:type="dxa" w:w="2016"/>
            <w:shd w:fill="FFFFFF"/>
            <w:tcMar>
              <w:top w:w="80" w:type="dxa"/>
              <w:bottom w:w="80" w:type="dxa"/>
              <w:left w:w="120" w:type="dxa"/>
              <w:right w:w="120" w:type="dxa"/>
            </w:tcMar>
          </w:tcPr>
          <w:p>
            <w:pPr>
              <w:jc w:val="left"/>
            </w:pPr>
            <w:r>
              <w:rPr>
                <w:rFonts w:ascii="Calibri" w:hAnsi="Calibri"/>
                <w:color w:val="1F2937"/>
                <w:sz w:val="18"/>
              </w:rPr>
              <w:t>Chunk similarity (No temporal order)</w:t>
            </w:r>
          </w:p>
        </w:tc>
        <w:tc>
          <w:tcPr>
            <w:tcW w:type="dxa" w:w="1872"/>
            <w:shd w:fill="FFFFFF"/>
            <w:tcMar>
              <w:top w:w="80" w:type="dxa"/>
              <w:bottom w:w="80" w:type="dxa"/>
              <w:left w:w="120" w:type="dxa"/>
              <w:right w:w="120" w:type="dxa"/>
            </w:tcMar>
          </w:tcPr>
          <w:p>
            <w:pPr>
              <w:jc w:val="left"/>
            </w:pPr>
            <w:r>
              <w:rPr>
                <w:rFonts w:ascii="Calibri" w:hAnsi="Calibri"/>
                <w:color w:val="1F2937"/>
                <w:sz w:val="18"/>
              </w:rPr>
              <w:t>Unstructured prose chunks</w:t>
            </w:r>
          </w:p>
        </w:tc>
        <w:tc>
          <w:tcPr>
            <w:tcW w:type="dxa" w:w="1728"/>
            <w:shd w:fill="FFFFFF"/>
            <w:tcMar>
              <w:top w:w="80" w:type="dxa"/>
              <w:bottom w:w="80" w:type="dxa"/>
              <w:left w:w="120" w:type="dxa"/>
              <w:right w:w="120" w:type="dxa"/>
            </w:tcMar>
          </w:tcPr>
          <w:p>
            <w:pPr>
              <w:jc w:val="left"/>
            </w:pPr>
            <w:r>
              <w:rPr>
                <w:rFonts w:ascii="Calibri" w:hAnsi="Calibri"/>
                <w:color w:val="1F2937"/>
                <w:sz w:val="18"/>
              </w:rPr>
              <w:t>Similarity scores only</w:t>
            </w:r>
          </w:p>
        </w:tc>
      </w:tr>
      <w:tr>
        <w:tc>
          <w:tcPr>
            <w:tcW w:type="dxa" w:w="1872"/>
            <w:shd w:fill="F9FAFB"/>
            <w:tcMar>
              <w:top w:w="80" w:type="dxa"/>
              <w:bottom w:w="80" w:type="dxa"/>
              <w:left w:w="120" w:type="dxa"/>
              <w:right w:w="120" w:type="dxa"/>
            </w:tcMar>
          </w:tcPr>
          <w:p>
            <w:pPr>
              <w:jc w:val="left"/>
            </w:pPr>
            <w:r>
              <w:rPr>
                <w:rFonts w:ascii="Calibri" w:hAnsi="Calibri"/>
                <w:color w:val="1F2937"/>
                <w:sz w:val="18"/>
              </w:rPr>
              <w:t>NovWrite (This Work)</w:t>
            </w:r>
          </w:p>
        </w:tc>
        <w:tc>
          <w:tcPr>
            <w:tcW w:type="dxa" w:w="1872"/>
            <w:shd w:fill="F9FAFB"/>
            <w:tcMar>
              <w:top w:w="80" w:type="dxa"/>
              <w:bottom w:w="80" w:type="dxa"/>
              <w:left w:w="120" w:type="dxa"/>
              <w:right w:w="120" w:type="dxa"/>
            </w:tcMar>
          </w:tcPr>
          <w:p>
            <w:pPr>
              <w:jc w:val="left"/>
            </w:pPr>
            <w:r>
              <w:rPr>
                <w:rFonts w:ascii="Calibri" w:hAnsi="Calibri"/>
                <w:color w:val="1F2937"/>
                <w:sz w:val="18"/>
              </w:rPr>
              <w:t>Hybrid Go + Event Sourced State</w:t>
            </w:r>
          </w:p>
        </w:tc>
        <w:tc>
          <w:tcPr>
            <w:tcW w:type="dxa" w:w="2016"/>
            <w:shd w:fill="F9FAFB"/>
            <w:tcMar>
              <w:top w:w="80" w:type="dxa"/>
              <w:bottom w:w="80" w:type="dxa"/>
              <w:left w:w="120" w:type="dxa"/>
              <w:right w:w="120" w:type="dxa"/>
            </w:tcMar>
          </w:tcPr>
          <w:p>
            <w:pPr>
              <w:jc w:val="left"/>
            </w:pPr>
            <w:r>
              <w:rPr>
                <w:rFonts w:ascii="Calibri" w:hAnsi="Calibri"/>
                <w:color w:val="1F2937"/>
                <w:sz w:val="18"/>
              </w:rPr>
              <w:t>Deterministic Event Replay (O(1) snapshots)</w:t>
            </w:r>
          </w:p>
        </w:tc>
        <w:tc>
          <w:tcPr>
            <w:tcW w:type="dxa" w:w="1872"/>
            <w:shd w:fill="F9FAFB"/>
            <w:tcMar>
              <w:top w:w="80" w:type="dxa"/>
              <w:bottom w:w="80" w:type="dxa"/>
              <w:left w:w="120" w:type="dxa"/>
              <w:right w:w="120" w:type="dxa"/>
            </w:tcMar>
          </w:tcPr>
          <w:p>
            <w:pPr>
              <w:jc w:val="left"/>
            </w:pPr>
            <w:r>
              <w:rPr>
                <w:rFonts w:ascii="Calibri" w:hAnsi="Calibri"/>
                <w:color w:val="1F2937"/>
                <w:sz w:val="18"/>
              </w:rPr>
              <w:t>Fully User-Defined Dynamic Schemas</w:t>
            </w:r>
          </w:p>
        </w:tc>
        <w:tc>
          <w:tcPr>
            <w:tcW w:type="dxa" w:w="1728"/>
            <w:shd w:fill="F9FAFB"/>
            <w:tcMar>
              <w:top w:w="80" w:type="dxa"/>
              <w:bottom w:w="80" w:type="dxa"/>
              <w:left w:w="120" w:type="dxa"/>
              <w:right w:w="120" w:type="dxa"/>
            </w:tcMar>
          </w:tcPr>
          <w:p>
            <w:pPr>
              <w:jc w:val="left"/>
            </w:pPr>
            <w:r>
              <w:rPr>
                <w:rFonts w:ascii="Calibri" w:hAnsi="Calibri"/>
                <w:color w:val="1F2937"/>
                <w:sz w:val="18"/>
              </w:rPr>
              <w:t>Actionable Causal Event Tracebacks</w:t>
            </w:r>
          </w:p>
        </w:tc>
      </w:tr>
    </w:tbl>
    <w:p>
      <w:pPr>
        <w:pStyle w:val="Heading2"/>
      </w:pPr>
      <w:r>
        <w:t>1.3 Core Engineering Objectives</w:t>
      </w:r>
    </w:p>
    <w:p>
      <w:r>
        <w:rPr>
          <w:b/>
        </w:rPr>
        <w:t xml:space="preserve">1. Deterministic State Reconstruction: </w:t>
      </w:r>
      <w:r>
        <w:t>Reconstruct the exact state of any character, item, or faction at any arbitrary chapter sequence number N using event-sourcing fold algorithms.</w:t>
        <w:br/>
      </w:r>
      <w:r>
        <w:rPr>
          <w:b/>
        </w:rPr>
        <w:t xml:space="preserve">2. Dynamic Genre-Agnostic Schemas: </w:t>
      </w:r>
      <w:r>
        <w:t>Allow authors to define custom entity types, validation rules, cultivation ladders, and multi-dimensional relationship scales without altering database DDL.</w:t>
        <w:br/>
      </w:r>
      <w:r>
        <w:rPr>
          <w:b/>
        </w:rPr>
        <w:t xml:space="preserve">3. Explainable Continuity Verification: </w:t>
      </w:r>
      <w:r>
        <w:t>Automatically detect lore contradictions in newly drafted prose, cite the exact historical event responsible, and offer one-click remediation actions.</w:t>
        <w:br/>
      </w:r>
      <w:r>
        <w:rPr>
          <w:b/>
        </w:rPr>
        <w:t xml:space="preserve">4. Decoupled Dedicated Workspaces: </w:t>
      </w:r>
      <w:r>
        <w:t>Provide dedicated full-viewport workbenches for Novel Writing vs World Building, eliminating nested tab-in-modal anti-patterns.</w:t>
        <w:br/>
      </w:r>
      <w:r>
        <w:rPr>
          <w:b/>
        </w:rPr>
        <w:t xml:space="preserve">5. Tri-Platform Co-Development: </w:t>
      </w:r>
      <w:r>
        <w:t>Engineer Web (SvelteKit), Desktop (Tauri 2), and Mobile (React Native + Expo) simultaneously with complete component and design system parity.</w:t>
      </w:r>
    </w:p>
    <w:p>
      <w:pPr>
        <w:pStyle w:val="Heading1"/>
      </w:pPr>
      <w:r>
        <w:rPr>
          <w:color w:val="7C3AED"/>
        </w:rPr>
        <w:t>2. System Architecture &amp; Topology</w:t>
      </w:r>
    </w:p>
    <w:p>
      <w:r>
        <w:t>NovWrite employs a modular multi-tier service topology designed to balance low latency, type safety, relational data integrity, and high-performance event-sourcing calculations.</w:t>
      </w:r>
    </w:p>
    <w:tbl>
      <w:tblPr>
        <w:tblW w:type="auto" w:w="0"/>
        <w:jc w:val="center"/>
        <w:tblLayout w:type="fixed"/>
        <w:tblLook w:firstColumn="1" w:firstRow="1" w:lastColumn="0" w:lastRow="0" w:noHBand="0" w:noVBand="1" w:val="04A0"/>
      </w:tblPr>
      <w:tblGrid>
        <w:gridCol w:w="9360"/>
      </w:tblGrid>
      <w:tr>
        <w:tc>
          <w:tcPr>
            <w:tcW w:type="dxa" w:w="9360"/>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pPr>
              <w:spacing w:before="40" w:after="40"/>
            </w:pPr>
            <w:r>
              <w:rPr>
                <w:rFonts w:ascii="Courier New" w:hAnsi="Courier New"/>
                <w:color w:val="0F172A"/>
                <w:sz w:val="17"/>
              </w:rPr>
              <w:t>+-----------------------------------------------------------------------------------+</w:t>
              <w:br/>
              <w:t>|                                 CLIENT LAYER                                      |</w:t>
              <w:br/>
              <w:t>|  Web (SvelteKit + shadcn-svelte) | Desktop (Tauri 2) | Mobile (React Native + RN) |</w:t>
              <w:br/>
              <w:t>+------------------------------------------+----------------------------------------+</w:t>
              <w:br/>
              <w:t xml:space="preserve">                                           | REST HTTP (JSON) &amp; Server-Sent Events (SSE)</w:t>
              <w:br/>
              <w:t xml:space="preserve">                                           v</w:t>
              <w:br/>
              <w:t>+-----------------------------------------------------------------------------------+</w:t>
              <w:br/>
              <w:t>|                             GO API BACKEND LAYER (Go 1.23+)                       |</w:t>
              <w:br/>
              <w:t>|  Chi Router | Project Auth &amp; Tenancy | Prose Service | State Fold Engine          |</w:t>
              <w:br/>
              <w:t>|  Continuity &amp; Invariant Rules Engine | AI Context Gateway                         |</w:t>
              <w:br/>
              <w:t>+------------------------------------------+----------------------------------------+</w:t>
              <w:br/>
              <w:t xml:space="preserve">                                           | Coarse-Grained gRPC (data/v1)</w:t>
              <w:br/>
              <w:t xml:space="preserve">                                           v</w:t>
              <w:br/>
              <w:t>+-----------------------------------------------------------------------------------+</w:t>
              <w:br/>
              <w:t>|                        TYPESCRIPT DATA SERVICE LAYER (Node 22+)                   |</w:t>
              <w:br/>
              <w:t>|  Prisma ORM | Dynamic JSONB Path Compiler | pgvector Semantic Indexing Engine     |</w:t>
              <w:br/>
              <w:t>+------------------------------------------+----------------------------------------+</w:t>
              <w:br/>
              <w:t xml:space="preserve">                                           | PostgreSQL Wire Protocol</w:t>
              <w:br/>
              <w:t xml:space="preserve">                                           v</w:t>
              <w:br/>
              <w:t>+-----------------------------------------------------------------------------------+</w:t>
              <w:br/>
              <w:t>|                           STORAGE &amp; INFRASTRUCTURE LAYER                          |</w:t>
              <w:br/>
              <w:t>|  PostgreSQL 18 + pgvector (System of Record) | Redis 7 (Snapshots, Cache &amp; Pub/Sub)  |</w:t>
              <w:br/>
              <w:t>+-----------------------------------------------------------------------------------+</w:t>
            </w:r>
          </w:p>
        </w:tc>
      </w:tr>
    </w:tbl>
    <w:p>
      <w:pPr>
        <w:pStyle w:val="Heading2"/>
      </w:pPr>
      <w:r>
        <w:t>2.1 Service Layer Breakdown &amp; Responsibilities</w:t>
      </w:r>
    </w:p>
    <w:p>
      <w:r>
        <w:t>1. Application API Core (Go):</w:t>
        <w:br/>
        <w:t xml:space="preserve">   - Implemented in Go for extreme throughput, predictable memory footprint, and concurrent rule evaluation.</w:t>
        <w:br/>
        <w:t xml:space="preserve">   - Encapsulates authentication, project workspace tenancy, prose drafting, timeline folding, and rule validation.</w:t>
        <w:br/>
        <w:t xml:space="preserve">   - Enforces the Block-Based Code Standard with unique block IDs (BLOCK_&lt;DOMAIN&gt;_&lt;ACTION&gt;_&lt;ID&gt;) and RFC 7807 problem details.</w:t>
        <w:br/>
        <w:br/>
        <w:t>2. Data Service Layer (TypeScript + Prisma):</w:t>
        <w:br/>
        <w:t xml:space="preserve">   - Encapsulates direct database connections, Prisma migrations, and JSONB path query generation.</w:t>
        <w:br/>
        <w:t xml:space="preserve">   - Exposes coarse-grained domain RPCs over gRPC (GetProjectState, CreateEventWithEffects, QueryEntityHistory, SaveStateSnapshot).</w:t>
        <w:br/>
        <w:t xml:space="preserve">   - Prevents domain logic leakage into database operations while providing rapid schema agility.</w:t>
        <w:br/>
        <w:br/>
        <w:t>3. Persistence &amp; Cache Infrastructure:</w:t>
        <w:br/>
        <w:t xml:space="preserve">   - PostgreSQL 18 with pgvector extension serves as the single source of canonical truth.</w:t>
        <w:br/>
        <w:t xml:space="preserve">   - Redis 7.2 handles multi-tier snapshot caching, single-flight fold calculation locks, and real-time Pub/Sub invalidation.</w:t>
      </w:r>
    </w:p>
    <w:p>
      <w:r>
        <w:br w:type="page"/>
      </w:r>
    </w:p>
    <w:p>
      <w:pPr>
        <w:pStyle w:val="Heading1"/>
      </w:pPr>
      <w:r>
        <w:rPr>
          <w:color w:val="7C3AED"/>
        </w:rPr>
        <w:t>3. Database &amp; Persistence Architecture</w:t>
      </w:r>
    </w:p>
    <w:p>
      <w:r>
        <w:t>The database architecture is designed with a relational backbone for structural narrative hierarchies combined with PostgreSQL JSONB columns for dynamic, user-defined entity attributes.</w:t>
      </w:r>
    </w:p>
    <w:p>
      <w:pPr>
        <w:pStyle w:val="Heading2"/>
      </w:pPr>
      <w:r>
        <w:t>3.1 Relational Prose Backbone Schema</w:t>
      </w:r>
    </w:p>
    <w:p>
      <w:r>
        <w:t>Narrative hierarchy is modeled strictly through relational tables: Users -&gt; Projects -&gt; Novels -&gt; Chapters -&gt; Scenes. Every table enforces foreign key constraints with ON DELETE CASCADE and compound uniqueness constraints to maintain strict manuscript ordering and multi-tenant isolation.</w:t>
      </w:r>
    </w:p>
    <w:tbl>
      <w:tblPr>
        <w:tblW w:type="auto" w:w="0"/>
        <w:jc w:val="center"/>
        <w:tblLayout w:type="fixed"/>
        <w:tblLook w:firstColumn="1" w:firstRow="1" w:lastColumn="0" w:lastRow="0" w:noHBand="0" w:noVBand="1" w:val="04A0"/>
      </w:tblPr>
      <w:tblGrid>
        <w:gridCol w:w="9360"/>
      </w:tblGrid>
      <w:tr>
        <w:tc>
          <w:tcPr>
            <w:tcW w:type="dxa" w:w="9360"/>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pPr>
              <w:spacing w:before="40" w:after="40"/>
            </w:pPr>
            <w:r>
              <w:rPr>
                <w:rFonts w:ascii="Courier New" w:hAnsi="Courier New"/>
                <w:color w:val="0F172A"/>
                <w:sz w:val="17"/>
              </w:rPr>
              <w:t>-- Relational Prose Hierarchy (PostgreSQL 18)</w:t>
              <w:br/>
              <w:t>CREATE TABLE projects (</w:t>
              <w:br/>
              <w:t xml:space="preserve">    id UUID PRIMARY KEY DEFAULT gen_random_uuid(),</w:t>
              <w:br/>
              <w:t xml:space="preserve">    owner_id UUID NOT NULL REFERENCES users(id) ON DELETE CASCADE,</w:t>
              <w:br/>
              <w:t xml:space="preserve">    name VARCHAR(255) NOT NULL,</w:t>
              <w:br/>
              <w:t xml:space="preserve">    slug VARCHAR(255) NOT NULL,</w:t>
              <w:br/>
              <w:t xml:space="preserve">    settings JSONB NOT NULL DEFAULT '{}'::jsonb,</w:t>
              <w:br/>
              <w:t xml:space="preserve">    created_at TIMESTAMPTZ NOT NULL DEFAULT NOW(),</w:t>
              <w:br/>
              <w:t xml:space="preserve">    CONSTRAINT uq_project_owner_slug UNIQUE (owner_id, slug)</w:t>
              <w:br/>
              <w:t>);</w:t>
              <w:br/>
              <w:br/>
              <w:t>CREATE TABLE chapters (</w:t>
              <w:br/>
              <w:t xml:space="preserve">    id UUID PRIMARY KEY DEFAULT gen_random_uuid(),</w:t>
              <w:br/>
              <w:t xml:space="preserve">    novel_id UUID NOT NULL REFERENCES novels(id) ON DELETE CASCADE,</w:t>
              <w:br/>
              <w:t xml:space="preserve">    project_id UUID NOT NULL REFERENCES projects(id) ON DELETE CASCADE,</w:t>
              <w:br/>
              <w:t xml:space="preserve">    title VARCHAR(255) NOT NULL,</w:t>
              <w:br/>
              <w:t xml:space="preserve">    order_index INT NOT NULL,</w:t>
              <w:br/>
              <w:t xml:space="preserve">    global_sequence_number INT NOT NULL,</w:t>
              <w:br/>
              <w:t xml:space="preserve">    CONSTRAINT uq_chapter_order UNIQUE (novel_id, order_index)</w:t>
              <w:br/>
              <w:t>);</w:t>
              <w:br/>
              <w:br/>
              <w:t>CREATE TABLE scenes (</w:t>
              <w:br/>
              <w:t xml:space="preserve">    id UUID PRIMARY KEY DEFAULT gen_random_uuid(),</w:t>
              <w:br/>
              <w:t xml:space="preserve">    chapter_id UUID NOT NULL REFERENCES chapters(id) ON DELETE CASCADE,</w:t>
              <w:br/>
              <w:t xml:space="preserve">    project_id UUID NOT NULL REFERENCES projects(id) ON DELETE CASCADE,</w:t>
              <w:br/>
              <w:t xml:space="preserve">    title VARCHAR(255) NOT NULL,</w:t>
              <w:br/>
              <w:t xml:space="preserve">    content_markdown TEXT NOT NULL DEFAULT '',</w:t>
              <w:br/>
              <w:t xml:space="preserve">    word_count INT NOT NULL DEFAULT 0,</w:t>
              <w:br/>
              <w:t xml:space="preserve">    status VARCHAR(50) NOT NULL DEFAULT 'draft',</w:t>
              <w:br/>
              <w:t xml:space="preserve">    CONSTRAINT uq_scene_order UNIQUE (chapter_id, order_index)</w:t>
              <w:br/>
              <w:t>);</w:t>
            </w:r>
          </w:p>
        </w:tc>
      </w:tr>
    </w:tbl>
    <w:p>
      <w:pPr>
        <w:pStyle w:val="Heading2"/>
      </w:pPr>
      <w:r>
        <w:t>3.2 Dynamic Universe Schemas via JSONB &amp; Property Definitions</w:t>
      </w:r>
    </w:p>
    <w:p>
      <w:r>
        <w:t>To support diverse genres without rigid relational column migrations, NovWrite models world building via meta-schemas: EntityTypes define categories (e.g., Character, Faction, Sect, Divine Relic), PropertyDefinitions define typed attributes (String, Number, Enum, Range, Entity Reference, Progression Ladder), and Entities store values in JSONB indexed with GIN.</w:t>
      </w:r>
    </w:p>
    <w:tbl>
      <w:tblPr>
        <w:tblW w:type="auto" w:w="0"/>
        <w:jc w:val="center"/>
        <w:tblLayout w:type="fixed"/>
        <w:tblLook w:firstColumn="1" w:firstRow="1" w:lastColumn="0" w:lastRow="0" w:noHBand="0" w:noVBand="1" w:val="04A0"/>
      </w:tblPr>
      <w:tblGrid>
        <w:gridCol w:w="9360"/>
      </w:tblGrid>
      <w:tr>
        <w:tc>
          <w:tcPr>
            <w:tcW w:type="dxa" w:w="9360"/>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pPr>
              <w:spacing w:before="40" w:after="40"/>
            </w:pPr>
            <w:r>
              <w:rPr>
                <w:rFonts w:ascii="Courier New" w:hAnsi="Courier New"/>
                <w:color w:val="0F172A"/>
                <w:sz w:val="17"/>
              </w:rPr>
              <w:t>-- Dynamic Entity Schema Definition</w:t>
              <w:br/>
              <w:t>CREATE TABLE property_definitions (</w:t>
              <w:br/>
              <w:t xml:space="preserve">    id UUID PRIMARY KEY DEFAULT gen_random_uuid(),</w:t>
              <w:br/>
              <w:t xml:space="preserve">    project_id UUID NOT NULL REFERENCES projects(id) ON DELETE CASCADE,</w:t>
              <w:br/>
              <w:t xml:space="preserve">    entity_type_id UUID NOT NULL REFERENCES entity_types(id) ON DELETE CASCADE,</w:t>
              <w:br/>
              <w:t xml:space="preserve">    name VARCHAR(100) NOT NULL,</w:t>
              <w:br/>
              <w:t xml:space="preserve">    key VARCHAR(100) NOT NULL,</w:t>
              <w:br/>
              <w:t xml:space="preserve">    data_type VARCHAR(50) NOT NULL, -- string, number, enum, boolean, range, entity_ref, ladder</w:t>
              <w:br/>
              <w:t xml:space="preserve">    validation_rules JSONB NOT NULL DEFAULT '{}'::jsonb,</w:t>
              <w:br/>
              <w:t xml:space="preserve">    is_required BOOLEAN NOT NULL DEFAULT FALSE,</w:t>
              <w:br/>
              <w:t xml:space="preserve">    CONSTRAINT uq_property_key UNIQUE (project_id, entity_type_id, key)</w:t>
              <w:br/>
              <w:t>);</w:t>
              <w:br/>
              <w:br/>
              <w:t>CREATE TABLE entities (</w:t>
              <w:br/>
              <w:t xml:space="preserve">    id UUID PRIMARY KEY DEFAULT gen_random_uuid(),</w:t>
              <w:br/>
              <w:t xml:space="preserve">    project_id UUID NOT NULL REFERENCES projects(id) ON DELETE CASCADE,</w:t>
              <w:br/>
              <w:t xml:space="preserve">    entity_type_id UUID NOT NULL REFERENCES entity_types(id) ON DELETE RESTRICT,</w:t>
              <w:br/>
              <w:t xml:space="preserve">    name VARCHAR(255) NOT NULL,</w:t>
              <w:br/>
              <w:t xml:space="preserve">    aliases TEXT[] NOT NULL DEFAULT '{}',</w:t>
              <w:br/>
              <w:t xml:space="preserve">    properties JSONB NOT NULL DEFAULT '{}'::jsonb,</w:t>
              <w:br/>
              <w:t xml:space="preserve">    status VARCHAR(50) NOT NULL DEFAULT 'active'</w:t>
              <w:br/>
              <w:t>);</w:t>
              <w:br/>
              <w:t>CREATE INDEX idx_entities_properties_gin ON entities USING gin (properties jsonb_path_ops);</w:t>
            </w:r>
          </w:p>
        </w:tc>
      </w:tr>
    </w:tbl>
    <w:p>
      <w:pPr>
        <w:pStyle w:val="Heading2"/>
      </w:pPr>
      <w:r>
        <w:t>3.3 Event Sourcing &amp; State Snapshot Tables</w:t>
      </w:r>
    </w:p>
    <w:p>
      <w:r>
        <w:t>World state mutations are recorded as immutable EventEffect records attached to Events. The canonical state at chapter N is reconstructed by replaying event effects over the nearest base StateSnapshot.</w:t>
      </w:r>
    </w:p>
    <w:tbl>
      <w:tblPr>
        <w:tblW w:type="auto" w:w="0"/>
        <w:jc w:val="center"/>
        <w:tblLayout w:type="fixed"/>
        <w:tblLook w:firstColumn="1" w:firstRow="1" w:lastColumn="0" w:lastRow="0" w:noHBand="0" w:noVBand="1" w:val="04A0"/>
      </w:tblPr>
      <w:tblGrid>
        <w:gridCol w:w="9360"/>
      </w:tblGrid>
      <w:tr>
        <w:tc>
          <w:tcPr>
            <w:tcW w:type="dxa" w:w="9360"/>
            <w:shd w:fill="F8FAFC"/>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pPr>
              <w:spacing w:before="40" w:after="40"/>
            </w:pPr>
            <w:r>
              <w:rPr>
                <w:rFonts w:ascii="Courier New" w:hAnsi="Courier New"/>
                <w:color w:val="0F172A"/>
                <w:sz w:val="17"/>
              </w:rPr>
              <w:t>-- Event Sourcing State Engine</w:t>
              <w:br/>
              <w:t>CREATE TABLE events (</w:t>
              <w:br/>
              <w:t xml:space="preserve">    id UUID PRIMARY KEY DEFAULT gen_random_uuid(),</w:t>
              <w:br/>
              <w:t xml:space="preserve">    project_id UUID NOT NULL REFERENCES projects(id) ON DELETE CASCADE,</w:t>
              <w:br/>
              <w:t xml:space="preserve">    anchor_scene_id UUID REFERENCES scenes(id) ON DELETE SET NULL,</w:t>
              <w:br/>
              <w:t xml:space="preserve">    name VARCHAR(255) NOT NULL,</w:t>
              <w:br/>
              <w:t xml:space="preserve">    narrative_sequence INT NOT NULL,</w:t>
              <w:br/>
              <w:t xml:space="preserve">    importance_tier VARCHAR(20) NOT NULL DEFAULT 'standard',</w:t>
              <w:br/>
              <w:t xml:space="preserve">    causal_predecessors UUID[] NOT NULL DEFAULT '{}'</w:t>
              <w:br/>
              <w:t>);</w:t>
              <w:br/>
              <w:br/>
              <w:t>CREATE TABLE event_effects (</w:t>
              <w:br/>
              <w:t xml:space="preserve">    id UUID PRIMARY KEY DEFAULT gen_random_uuid(),</w:t>
              <w:br/>
              <w:t xml:space="preserve">    event_id UUID NOT NULL REFERENCES events(id) ON DELETE CASCADE,</w:t>
              <w:br/>
              <w:t xml:space="preserve">    project_id UUID NOT NULL REFERENCES projects(id) ON DELETE CASCADE,</w:t>
              <w:br/>
              <w:t xml:space="preserve">    entity_id UUID NOT NULL REFERENCES entities(id) ON DELETE CASCADE,</w:t>
              <w:br/>
              <w:t xml:space="preserve">    property_key VARCHAR(100) NOT NULL,</w:t>
              <w:br/>
              <w:t xml:space="preserve">    operation VARCHAR(20) NOT NULL, -- SET, INCREMENT, APPEND, REMOVE, TRANSFER</w:t>
              <w:br/>
              <w:t xml:space="preserve">    previous_value JSONB,</w:t>
              <w:br/>
              <w:t xml:space="preserve">    new_value JSONB NOT NULL,</w:t>
              <w:br/>
              <w:t xml:space="preserve">    explanation TEXT</w:t>
              <w:br/>
              <w:t>);</w:t>
              <w:br/>
              <w:br/>
              <w:t>CREATE TABLE state_snapshots (</w:t>
              <w:br/>
              <w:t xml:space="preserve">    id UUID PRIMARY KEY DEFAULT gen_random_uuid(),</w:t>
              <w:br/>
              <w:t xml:space="preserve">    project_id UUID NOT NULL REFERENCES projects(id) ON DELETE CASCADE,</w:t>
              <w:br/>
              <w:t xml:space="preserve">    chapter_id UUID NOT NULL REFERENCES chapters(id) ON DELETE CASCADE,</w:t>
              <w:br/>
              <w:t xml:space="preserve">    sequence_number INT NOT NULL,</w:t>
              <w:br/>
              <w:t xml:space="preserve">    snapshot_data JSONB NOT NULL,</w:t>
              <w:br/>
              <w:t xml:space="preserve">    checksum VARCHAR(64) NOT NULL,</w:t>
              <w:br/>
              <w:t xml:space="preserve">    CONSTRAINT uq_project_chapter_snapshot UNIQUE (project_id, chapter_id)</w:t>
              <w:br/>
              <w:t>);</w:t>
            </w:r>
          </w:p>
        </w:tc>
      </w:tr>
    </w:tbl>
    <w:p>
      <w:r>
        <w:br w:type="page"/>
      </w:r>
    </w:p>
    <w:p>
      <w:pPr>
        <w:pStyle w:val="Heading1"/>
      </w:pPr>
      <w:r>
        <w:rPr>
          <w:color w:val="7C3AED"/>
        </w:rPr>
        <w:t>4. Backend Subsystems &amp; Continuity Engine</w:t>
      </w:r>
    </w:p>
    <w:p>
      <w:r>
        <w:t>The core Go backend hosts the business logic engines, maintaining pure separation between persistence and domain validation.</w:t>
      </w:r>
    </w:p>
    <w:p>
      <w:pPr>
        <w:pStyle w:val="Heading2"/>
      </w:pPr>
      <w:r>
        <w:t>4.1 State Fold Engine Mechanics</w:t>
      </w:r>
    </w:p>
    <w:p>
      <w:r>
        <w:t>The State Fold Engine computes the point-in-time universe state for sequence N through a deterministic 4-step algorithm:</w:t>
      </w:r>
    </w:p>
    <w:p>
      <w:r>
        <w:rPr>
          <w:b/>
        </w:rPr>
        <w:t xml:space="preserve">Step 1 (Snapshot Retrieval): </w:t>
      </w:r>
      <w:r>
        <w:t>Query Redis Cache (or PostgreSQL `state_snapshots`) for the nearest snapshot where `sequence_number &lt;= N`.</w:t>
        <w:br/>
      </w:r>
      <w:r>
        <w:rPr>
          <w:b/>
        </w:rPr>
        <w:t xml:space="preserve">Step 2 (Delta Fetching): </w:t>
      </w:r>
      <w:r>
        <w:t>Fetch all `event_effects` between `snapshot.sequence_number` and `N` ordered by `events.narrative_sequence ASC`.</w:t>
        <w:br/>
      </w:r>
      <w:r>
        <w:rPr>
          <w:b/>
        </w:rPr>
        <w:t xml:space="preserve">Step 3 (Fold Application): </w:t>
      </w:r>
      <w:r>
        <w:t>Apply each effect's mutation operation (SET, INCREMENT, APPEND, REMOVE, TRANSFER) to the in-memory entity map.</w:t>
        <w:br/>
      </w:r>
      <w:r>
        <w:rPr>
          <w:b/>
        </w:rPr>
        <w:t xml:space="preserve">Step 4 (Validation / Snapshotting): </w:t>
      </w:r>
      <w:r>
        <w:t>Emit the authoritative folded state and optionally save a new checkpoint snapshot for rapid future O(1) access.</w:t>
      </w:r>
    </w:p>
    <w:p>
      <w:pPr>
        <w:pStyle w:val="Heading2"/>
      </w:pPr>
      <w:r>
        <w:t>4.2 Continuity &amp; Invariant Verification Pipeline</w:t>
      </w:r>
    </w:p>
    <w:p>
      <w:r>
        <w:t>When an author writes or updates a scene, the Continuity Engine executes four classes of invariant rules:</w:t>
      </w:r>
    </w:p>
    <w:tbl>
      <w:tblPr>
        <w:tblW w:type="auto" w:w="0"/>
        <w:jc w:val="center"/>
        <w:tblLook w:firstColumn="1" w:firstRow="1" w:lastColumn="0" w:lastRow="0" w:noHBand="0" w:noVBand="1" w:val="04A0"/>
      </w:tblPr>
      <w:tblGrid>
        <w:gridCol w:w="3120"/>
        <w:gridCol w:w="3120"/>
        <w:gridCol w:w="3120"/>
      </w:tblGrid>
      <w:tr>
        <w:tc>
          <w:tcPr>
            <w:tcW w:type="dxa" w:w="2592"/>
            <w:shd w:fill="7C3AED"/>
            <w:tcMar>
              <w:top w:w="100" w:type="dxa"/>
              <w:bottom w:w="100" w:type="dxa"/>
              <w:left w:w="120" w:type="dxa"/>
              <w:right w:w="120" w:type="dxa"/>
            </w:tcMar>
          </w:tcPr>
          <w:p>
            <w:pPr>
              <w:jc w:val="left"/>
            </w:pPr>
            <w:r>
              <w:rPr>
                <w:rFonts w:ascii="Calibri" w:hAnsi="Calibri"/>
                <w:b/>
                <w:color w:val="FFFFFF"/>
                <w:sz w:val="19"/>
              </w:rPr>
              <w:t>Rule Class</w:t>
            </w:r>
          </w:p>
        </w:tc>
        <w:tc>
          <w:tcPr>
            <w:tcW w:type="dxa" w:w="3168"/>
            <w:shd w:fill="7C3AED"/>
            <w:tcMar>
              <w:top w:w="100" w:type="dxa"/>
              <w:bottom w:w="100" w:type="dxa"/>
              <w:left w:w="120" w:type="dxa"/>
              <w:right w:w="120" w:type="dxa"/>
            </w:tcMar>
          </w:tcPr>
          <w:p>
            <w:pPr>
              <w:jc w:val="left"/>
            </w:pPr>
            <w:r>
              <w:rPr>
                <w:rFonts w:ascii="Calibri" w:hAnsi="Calibri"/>
                <w:b/>
                <w:color w:val="FFFFFF"/>
                <w:sz w:val="19"/>
              </w:rPr>
              <w:t>Validation Mechanism</w:t>
            </w:r>
          </w:p>
        </w:tc>
        <w:tc>
          <w:tcPr>
            <w:tcW w:type="dxa" w:w="3600"/>
            <w:shd w:fill="7C3AED"/>
            <w:tcMar>
              <w:top w:w="100" w:type="dxa"/>
              <w:bottom w:w="100" w:type="dxa"/>
              <w:left w:w="120" w:type="dxa"/>
              <w:right w:w="120" w:type="dxa"/>
            </w:tcMar>
          </w:tcPr>
          <w:p>
            <w:pPr>
              <w:jc w:val="left"/>
            </w:pPr>
            <w:r>
              <w:rPr>
                <w:rFonts w:ascii="Calibri" w:hAnsi="Calibri"/>
                <w:b/>
                <w:color w:val="FFFFFF"/>
                <w:sz w:val="19"/>
              </w:rPr>
              <w:t>Example Failure Triggered</w:t>
            </w:r>
          </w:p>
        </w:tc>
      </w:tr>
      <w:tr>
        <w:tc>
          <w:tcPr>
            <w:tcW w:type="dxa" w:w="2592"/>
            <w:shd w:fill="FFFFFF"/>
            <w:tcMar>
              <w:top w:w="80" w:type="dxa"/>
              <w:bottom w:w="80" w:type="dxa"/>
              <w:left w:w="120" w:type="dxa"/>
              <w:right w:w="120" w:type="dxa"/>
            </w:tcMar>
          </w:tcPr>
          <w:p>
            <w:pPr>
              <w:jc w:val="left"/>
            </w:pPr>
            <w:r>
              <w:rPr>
                <w:rFonts w:ascii="Calibri" w:hAnsi="Calibri"/>
                <w:color w:val="1F2937"/>
                <w:sz w:val="18"/>
              </w:rPr>
              <w:t>Status Invariant</w:t>
            </w:r>
          </w:p>
        </w:tc>
        <w:tc>
          <w:tcPr>
            <w:tcW w:type="dxa" w:w="3168"/>
            <w:shd w:fill="FFFFFF"/>
            <w:tcMar>
              <w:top w:w="80" w:type="dxa"/>
              <w:bottom w:w="80" w:type="dxa"/>
              <w:left w:w="120" w:type="dxa"/>
              <w:right w:w="120" w:type="dxa"/>
            </w:tcMar>
          </w:tcPr>
          <w:p>
            <w:pPr>
              <w:jc w:val="left"/>
            </w:pPr>
            <w:r>
              <w:rPr>
                <w:rFonts w:ascii="Calibri" w:hAnsi="Calibri"/>
                <w:color w:val="1F2937"/>
                <w:sz w:val="18"/>
              </w:rPr>
              <w:t>Verifies entity lifecycle status</w:t>
            </w:r>
          </w:p>
        </w:tc>
        <w:tc>
          <w:tcPr>
            <w:tcW w:type="dxa" w:w="3600"/>
            <w:shd w:fill="FFFFFF"/>
            <w:tcMar>
              <w:top w:w="80" w:type="dxa"/>
              <w:bottom w:w="80" w:type="dxa"/>
              <w:left w:w="120" w:type="dxa"/>
              <w:right w:w="120" w:type="dxa"/>
            </w:tcMar>
          </w:tcPr>
          <w:p>
            <w:pPr>
              <w:jc w:val="left"/>
            </w:pPr>
            <w:r>
              <w:rPr>
                <w:rFonts w:ascii="Calibri" w:hAnsi="Calibri"/>
                <w:color w:val="1F2937"/>
                <w:sz w:val="18"/>
              </w:rPr>
              <w:t>Deceased character actively speaking or fighting in a scene</w:t>
            </w:r>
          </w:p>
        </w:tc>
      </w:tr>
      <w:tr>
        <w:tc>
          <w:tcPr>
            <w:tcW w:type="dxa" w:w="2592"/>
            <w:shd w:fill="F9FAFB"/>
            <w:tcMar>
              <w:top w:w="80" w:type="dxa"/>
              <w:bottom w:w="80" w:type="dxa"/>
              <w:left w:w="120" w:type="dxa"/>
              <w:right w:w="120" w:type="dxa"/>
            </w:tcMar>
          </w:tcPr>
          <w:p>
            <w:pPr>
              <w:jc w:val="left"/>
            </w:pPr>
            <w:r>
              <w:rPr>
                <w:rFonts w:ascii="Calibri" w:hAnsi="Calibri"/>
                <w:color w:val="1F2937"/>
                <w:sz w:val="18"/>
              </w:rPr>
              <w:t>Exclusive Possession</w:t>
            </w:r>
          </w:p>
        </w:tc>
        <w:tc>
          <w:tcPr>
            <w:tcW w:type="dxa" w:w="3168"/>
            <w:shd w:fill="F9FAFB"/>
            <w:tcMar>
              <w:top w:w="80" w:type="dxa"/>
              <w:bottom w:w="80" w:type="dxa"/>
              <w:left w:w="120" w:type="dxa"/>
              <w:right w:w="120" w:type="dxa"/>
            </w:tcMar>
          </w:tcPr>
          <w:p>
            <w:pPr>
              <w:jc w:val="left"/>
            </w:pPr>
            <w:r>
              <w:rPr>
                <w:rFonts w:ascii="Calibri" w:hAnsi="Calibri"/>
                <w:color w:val="1F2937"/>
                <w:sz w:val="18"/>
              </w:rPr>
              <w:t>Asserts uniqueness of unique items/relics</w:t>
            </w:r>
          </w:p>
        </w:tc>
        <w:tc>
          <w:tcPr>
            <w:tcW w:type="dxa" w:w="3600"/>
            <w:shd w:fill="F9FAFB"/>
            <w:tcMar>
              <w:top w:w="80" w:type="dxa"/>
              <w:bottom w:w="80" w:type="dxa"/>
              <w:left w:w="120" w:type="dxa"/>
              <w:right w:w="120" w:type="dxa"/>
            </w:tcMar>
          </w:tcPr>
          <w:p>
            <w:pPr>
              <w:jc w:val="left"/>
            </w:pPr>
            <w:r>
              <w:rPr>
                <w:rFonts w:ascii="Calibri" w:hAnsi="Calibri"/>
                <w:color w:val="1F2937"/>
                <w:sz w:val="18"/>
              </w:rPr>
              <w:t>Two characters wielding the unique 'Azure Dragon Sword' simultaneously</w:t>
            </w:r>
          </w:p>
        </w:tc>
      </w:tr>
      <w:tr>
        <w:tc>
          <w:tcPr>
            <w:tcW w:type="dxa" w:w="2592"/>
            <w:shd w:fill="FFFFFF"/>
            <w:tcMar>
              <w:top w:w="80" w:type="dxa"/>
              <w:bottom w:w="80" w:type="dxa"/>
              <w:left w:w="120" w:type="dxa"/>
              <w:right w:w="120" w:type="dxa"/>
            </w:tcMar>
          </w:tcPr>
          <w:p>
            <w:pPr>
              <w:jc w:val="left"/>
            </w:pPr>
            <w:r>
              <w:rPr>
                <w:rFonts w:ascii="Calibri" w:hAnsi="Calibri"/>
                <w:color w:val="1F2937"/>
                <w:sz w:val="18"/>
              </w:rPr>
              <w:t>Power Tier Ladder</w:t>
            </w:r>
          </w:p>
        </w:tc>
        <w:tc>
          <w:tcPr>
            <w:tcW w:type="dxa" w:w="3168"/>
            <w:shd w:fill="FFFFFF"/>
            <w:tcMar>
              <w:top w:w="80" w:type="dxa"/>
              <w:bottom w:w="80" w:type="dxa"/>
              <w:left w:w="120" w:type="dxa"/>
              <w:right w:w="120" w:type="dxa"/>
            </w:tcMar>
          </w:tcPr>
          <w:p>
            <w:pPr>
              <w:jc w:val="left"/>
            </w:pPr>
            <w:r>
              <w:rPr>
                <w:rFonts w:ascii="Calibri" w:hAnsi="Calibri"/>
                <w:color w:val="1F2937"/>
                <w:sz w:val="18"/>
              </w:rPr>
              <w:t>Validates capability against progression stage</w:t>
            </w:r>
          </w:p>
        </w:tc>
        <w:tc>
          <w:tcPr>
            <w:tcW w:type="dxa" w:w="3600"/>
            <w:shd w:fill="FFFFFF"/>
            <w:tcMar>
              <w:top w:w="80" w:type="dxa"/>
              <w:bottom w:w="80" w:type="dxa"/>
              <w:left w:w="120" w:type="dxa"/>
              <w:right w:w="120" w:type="dxa"/>
            </w:tcMar>
          </w:tcPr>
          <w:p>
            <w:pPr>
              <w:jc w:val="left"/>
            </w:pPr>
            <w:r>
              <w:rPr>
                <w:rFonts w:ascii="Calibri" w:hAnsi="Calibri"/>
                <w:color w:val="1F2937"/>
                <w:sz w:val="18"/>
              </w:rPr>
              <w:t>Character in 'Qi Condensation' deploying 'Nascent Soul Domain' technique</w:t>
            </w:r>
          </w:p>
        </w:tc>
      </w:tr>
      <w:tr>
        <w:tc>
          <w:tcPr>
            <w:tcW w:type="dxa" w:w="2592"/>
            <w:shd w:fill="F9FAFB"/>
            <w:tcMar>
              <w:top w:w="80" w:type="dxa"/>
              <w:bottom w:w="80" w:type="dxa"/>
              <w:left w:w="120" w:type="dxa"/>
              <w:right w:w="120" w:type="dxa"/>
            </w:tcMar>
          </w:tcPr>
          <w:p>
            <w:pPr>
              <w:jc w:val="left"/>
            </w:pPr>
            <w:r>
              <w:rPr>
                <w:rFonts w:ascii="Calibri" w:hAnsi="Calibri"/>
                <w:color w:val="1F2937"/>
                <w:sz w:val="18"/>
              </w:rPr>
              <w:t>Custom Predicate</w:t>
            </w:r>
          </w:p>
        </w:tc>
        <w:tc>
          <w:tcPr>
            <w:tcW w:type="dxa" w:w="3168"/>
            <w:shd w:fill="F9FAFB"/>
            <w:tcMar>
              <w:top w:w="80" w:type="dxa"/>
              <w:bottom w:w="80" w:type="dxa"/>
              <w:left w:w="120" w:type="dxa"/>
              <w:right w:w="120" w:type="dxa"/>
            </w:tcMar>
          </w:tcPr>
          <w:p>
            <w:pPr>
              <w:jc w:val="left"/>
            </w:pPr>
            <w:r>
              <w:rPr>
                <w:rFonts w:ascii="Calibri" w:hAnsi="Calibri"/>
                <w:color w:val="1F2937"/>
                <w:sz w:val="18"/>
              </w:rPr>
              <w:t>User-defined JSON logic expressions</w:t>
            </w:r>
          </w:p>
        </w:tc>
        <w:tc>
          <w:tcPr>
            <w:tcW w:type="dxa" w:w="3600"/>
            <w:shd w:fill="F9FAFB"/>
            <w:tcMar>
              <w:top w:w="80" w:type="dxa"/>
              <w:bottom w:w="80" w:type="dxa"/>
              <w:left w:w="120" w:type="dxa"/>
              <w:right w:w="120" w:type="dxa"/>
            </w:tcMar>
          </w:tcPr>
          <w:p>
            <w:pPr>
              <w:jc w:val="left"/>
            </w:pPr>
            <w:r>
              <w:rPr>
                <w:rFonts w:ascii="Calibri" w:hAnsi="Calibri"/>
                <w:color w:val="1F2937"/>
                <w:sz w:val="18"/>
              </w:rPr>
              <w:t>Faction elder entering sacred grounds without 'Sect Master Token'</w:t>
            </w:r>
          </w:p>
        </w:tc>
      </w:tr>
    </w:tbl>
    <w:tbl>
      <w:tblPr>
        <w:tblW w:type="auto" w:w="0"/>
        <w:jc w:val="center"/>
        <w:tblLayout w:type="fixed"/>
        <w:tblLook w:firstColumn="1" w:firstRow="1" w:lastColumn="0" w:lastRow="0" w:noHBand="0" w:noVBand="1" w:val="04A0"/>
      </w:tblPr>
      <w:tblGrid>
        <w:gridCol w:w="9360"/>
      </w:tblGrid>
      <w:tr>
        <w:tc>
          <w:tcPr>
            <w:tcW w:type="dxa" w:w="9360"/>
            <w:shd w:fill="F5F3FF"/>
            <w:tcMar>
              <w:top w:w="120" w:type="dxa"/>
              <w:bottom w:w="120" w:type="dxa"/>
              <w:left w:w="180" w:type="dxa"/>
              <w:right w:w="180" w:type="dxa"/>
            </w:tcMar>
            <w:tcBorders>
              <w:top w:val="none" w:sz="0" w:space="0" w:color="auto"/>
              <w:left w:val="single" w:sz="24" w:space="0" w:color="7C3AED"/>
              <w:bottom w:val="none" w:sz="0" w:space="0" w:color="auto"/>
              <w:right w:val="none" w:sz="0" w:space="0" w:color="auto"/>
            </w:tcBorders>
          </w:tcPr>
          <w:p>
            <w:pPr>
              <w:spacing w:before="40" w:after="40"/>
            </w:pPr>
            <w:r>
              <w:rPr>
                <w:rFonts w:ascii="Calibri" w:hAnsi="Calibri"/>
                <w:b/>
                <w:color w:val="5B21B6"/>
                <w:sz w:val="20"/>
              </w:rPr>
              <w:t xml:space="preserve">EXPLAINABILITY GUARANTEE: </w:t>
            </w:r>
            <w:r>
              <w:rPr>
                <w:rFonts w:ascii="Calibri" w:hAnsi="Calibri"/>
                <w:color w:val="1F2937"/>
                <w:sz w:val="20"/>
              </w:rPr>
              <w:t>Explainable Violation Model: Every rule violation generates an RFC 7807 Problem Detail containing: (1) Contradictory claim text, (2) Canonical baseline value, (3) Historical causal event ID that established the baseline, and (4) Actionable resolution suggestions (Accept New Canon, Add Missing Event, Edit Prose).</w:t>
            </w:r>
          </w:p>
        </w:tc>
      </w:tr>
    </w:tbl>
    <w:p>
      <w:r>
        <w:br w:type="page"/>
      </w:r>
    </w:p>
    <w:p>
      <w:pPr>
        <w:pStyle w:val="Heading1"/>
      </w:pPr>
      <w:r>
        <w:rPr>
          <w:color w:val="7C3AED"/>
        </w:rPr>
        <w:t>5. Frontend Architecture &amp; Multi-Platform Engineering</w:t>
      </w:r>
    </w:p>
    <w:p>
      <w:pPr>
        <w:pStyle w:val="Heading2"/>
      </w:pPr>
      <w:r>
        <w:t>5.1 Decoupled Standalone Studios Architecture</w:t>
      </w:r>
    </w:p>
    <w:p>
      <w:r>
        <w:t>A critical UX decision in NovWrite is the complete decoupling of the Prose Writing Space from the World Creation Space. Writing prose and building fictional universes require fundamentally different cognitive workflows and interface layouts.</w:t>
      </w:r>
    </w:p>
    <w:p>
      <w:r>
        <w:t>1. NovWrite Prose Studio (/novel):</w:t>
        <w:br/>
        <w:t xml:space="preserve">   - Focuses exclusively on writing velocity with a full-height markdown prose canvas.</w:t>
        <w:br/>
        <w:t xml:space="preserve">   - Minimalist status pills indicate real-time continuity health without interrupting the creative flow.</w:t>
        <w:br/>
        <w:t xml:space="preserve">   - Non-intrusive slide-over drawers provide instant lore lookup on demand.</w:t>
        <w:br/>
        <w:br/>
        <w:t>2. NovWrite World Studio (/world/*):</w:t>
        <w:br/>
        <w:t xml:space="preserve">   - Standalone workbench suite containing dedicated full-viewport pages for each domain.</w:t>
        <w:br/>
        <w:t xml:space="preserve">   - Characters &amp; Entities Studio (/world/characters): Master-detail data grid with full CRUD and a dedicated Change History Table per entity.</w:t>
        <w:br/>
        <w:t xml:space="preserve">   - Power Systems &amp; Progression (/world/progression): Visual progression ladder builder, technique registries, and breakthrough prerequisites.</w:t>
        <w:br/>
        <w:t xml:space="preserve">   - Universe Schemas (/world/schema): Custom entity type architect and dynamic property definition editor.</w:t>
        <w:br/>
        <w:t xml:space="preserve">   - Continuity Rules (/world/rules): Visual predicate builder for custom invariant constraints.</w:t>
        <w:br/>
        <w:t xml:space="preserve">   - Causal Timeline (/world/timeline): Dual-mode timeline (Narrative vs Chronological) and atomic EventEffect editor.</w:t>
        <w:br/>
        <w:t xml:space="preserve">   - Relationships (/world/relationships): Master 2D relationship matrix and node-link network visualizer.</w:t>
        <w:br/>
        <w:t xml:space="preserve">   - Continuity Health &amp; Canon Reconciler (/world/audit): System-wide violation dashboard with one-click remediation.</w:t>
      </w:r>
    </w:p>
    <w:tbl>
      <w:tblPr>
        <w:tblW w:type="auto" w:w="0"/>
        <w:jc w:val="center"/>
        <w:tblLayout w:type="fixed"/>
        <w:tblLook w:firstColumn="1" w:firstRow="1" w:lastColumn="0" w:lastRow="0" w:noHBand="0" w:noVBand="1" w:val="04A0"/>
      </w:tblPr>
      <w:tblGrid>
        <w:gridCol w:w="9360"/>
      </w:tblGrid>
      <w:tr>
        <w:tc>
          <w:tcPr>
            <w:tcW w:type="dxa" w:w="9360"/>
            <w:shd w:fill="FEF2F2"/>
            <w:tcMar>
              <w:top w:w="120" w:type="dxa"/>
              <w:bottom w:w="120" w:type="dxa"/>
              <w:left w:w="180" w:type="dxa"/>
              <w:right w:w="180" w:type="dxa"/>
            </w:tcMar>
            <w:tcBorders>
              <w:top w:val="none" w:sz="0" w:space="0" w:color="auto"/>
              <w:left w:val="single" w:sz="24" w:space="0" w:color="DC2626"/>
              <w:bottom w:val="none" w:sz="0" w:space="0" w:color="auto"/>
              <w:right w:val="none" w:sz="0" w:space="0" w:color="auto"/>
            </w:tcBorders>
          </w:tcPr>
          <w:p>
            <w:pPr>
              <w:spacing w:before="40" w:after="40"/>
            </w:pPr>
            <w:r>
              <w:rPr>
                <w:rFonts w:ascii="Calibri" w:hAnsi="Calibri"/>
                <w:b/>
                <w:color w:val="991B1B"/>
                <w:sz w:val="20"/>
              </w:rPr>
              <w:t xml:space="preserve">UX STANDARD: </w:t>
            </w:r>
            <w:r>
              <w:rPr>
                <w:rFonts w:ascii="Calibri" w:hAnsi="Calibri"/>
                <w:color w:val="1F2937"/>
                <w:sz w:val="20"/>
              </w:rPr>
              <w:t>Strict Anti-Pattern Prohibition: Complex world building domains MUST NEVER be crammed into modals or nested tabs inside a single screen. Each domain is implemented as a first-class, standalone workbench page with full master-detail tables and audit trails.</w:t>
            </w:r>
          </w:p>
        </w:tc>
      </w:tr>
    </w:tbl>
    <w:p>
      <w:pPr>
        <w:pStyle w:val="Heading2"/>
      </w:pPr>
      <w:r>
        <w:t>5.2 Tri-Platform Co-Development &amp; React Native Mobile Stack</w:t>
      </w:r>
    </w:p>
    <w:p>
      <w:r>
        <w:t>All three frontends are engineered simultaneously with unified styling, tokens, and component architecture:</w:t>
      </w:r>
    </w:p>
    <w:tbl>
      <w:tblPr>
        <w:tblW w:type="auto" w:w="0"/>
        <w:jc w:val="center"/>
        <w:tblLook w:firstColumn="1" w:firstRow="1" w:lastColumn="0" w:lastRow="0" w:noHBand="0" w:noVBand="1" w:val="04A0"/>
      </w:tblPr>
      <w:tblGrid>
        <w:gridCol w:w="1872"/>
        <w:gridCol w:w="1872"/>
        <w:gridCol w:w="1872"/>
        <w:gridCol w:w="1872"/>
        <w:gridCol w:w="1872"/>
      </w:tblGrid>
      <w:tr>
        <w:tc>
          <w:tcPr>
            <w:tcW w:type="dxa" w:w="1584"/>
            <w:shd w:fill="7C3AED"/>
            <w:tcMar>
              <w:top w:w="100" w:type="dxa"/>
              <w:bottom w:w="100" w:type="dxa"/>
              <w:left w:w="120" w:type="dxa"/>
              <w:right w:w="120" w:type="dxa"/>
            </w:tcMar>
          </w:tcPr>
          <w:p>
            <w:pPr>
              <w:jc w:val="left"/>
            </w:pPr>
            <w:r>
              <w:rPr>
                <w:rFonts w:ascii="Calibri" w:hAnsi="Calibri"/>
                <w:b/>
                <w:color w:val="FFFFFF"/>
                <w:sz w:val="19"/>
              </w:rPr>
              <w:t>Platform</w:t>
            </w:r>
          </w:p>
        </w:tc>
        <w:tc>
          <w:tcPr>
            <w:tcW w:type="dxa" w:w="2016"/>
            <w:shd w:fill="7C3AED"/>
            <w:tcMar>
              <w:top w:w="100" w:type="dxa"/>
              <w:bottom w:w="100" w:type="dxa"/>
              <w:left w:w="120" w:type="dxa"/>
              <w:right w:w="120" w:type="dxa"/>
            </w:tcMar>
          </w:tcPr>
          <w:p>
            <w:pPr>
              <w:jc w:val="left"/>
            </w:pPr>
            <w:r>
              <w:rPr>
                <w:rFonts w:ascii="Calibri" w:hAnsi="Calibri"/>
                <w:b/>
                <w:color w:val="FFFFFF"/>
                <w:sz w:val="19"/>
              </w:rPr>
              <w:t>Framework &amp; Routing</w:t>
            </w:r>
          </w:p>
        </w:tc>
        <w:tc>
          <w:tcPr>
            <w:tcW w:type="dxa" w:w="1728"/>
            <w:shd w:fill="7C3AED"/>
            <w:tcMar>
              <w:top w:w="100" w:type="dxa"/>
              <w:bottom w:w="100" w:type="dxa"/>
              <w:left w:w="120" w:type="dxa"/>
              <w:right w:w="120" w:type="dxa"/>
            </w:tcMar>
          </w:tcPr>
          <w:p>
            <w:pPr>
              <w:jc w:val="left"/>
            </w:pPr>
            <w:r>
              <w:rPr>
                <w:rFonts w:ascii="Calibri" w:hAnsi="Calibri"/>
                <w:b/>
                <w:color w:val="FFFFFF"/>
                <w:sz w:val="19"/>
              </w:rPr>
              <w:t>Styling Engine</w:t>
            </w:r>
          </w:p>
        </w:tc>
        <w:tc>
          <w:tcPr>
            <w:tcW w:type="dxa" w:w="2160"/>
            <w:shd w:fill="7C3AED"/>
            <w:tcMar>
              <w:top w:w="100" w:type="dxa"/>
              <w:bottom w:w="100" w:type="dxa"/>
              <w:left w:w="120" w:type="dxa"/>
              <w:right w:w="120" w:type="dxa"/>
            </w:tcMar>
          </w:tcPr>
          <w:p>
            <w:pPr>
              <w:jc w:val="left"/>
            </w:pPr>
            <w:r>
              <w:rPr>
                <w:rFonts w:ascii="Calibri" w:hAnsi="Calibri"/>
                <w:b/>
                <w:color w:val="FFFFFF"/>
                <w:sz w:val="19"/>
              </w:rPr>
              <w:t>Component Primitives (shadcn System)</w:t>
            </w:r>
          </w:p>
        </w:tc>
        <w:tc>
          <w:tcPr>
            <w:tcW w:type="dxa" w:w="1872"/>
            <w:shd w:fill="7C3AED"/>
            <w:tcMar>
              <w:top w:w="100" w:type="dxa"/>
              <w:bottom w:w="100" w:type="dxa"/>
              <w:left w:w="120" w:type="dxa"/>
              <w:right w:w="120" w:type="dxa"/>
            </w:tcMar>
          </w:tcPr>
          <w:p>
            <w:pPr>
              <w:jc w:val="left"/>
            </w:pPr>
            <w:r>
              <w:rPr>
                <w:rFonts w:ascii="Calibri" w:hAnsi="Calibri"/>
                <w:b/>
                <w:color w:val="FFFFFF"/>
                <w:sz w:val="19"/>
              </w:rPr>
              <w:t>Navigation Paradigm</w:t>
            </w:r>
          </w:p>
        </w:tc>
      </w:tr>
      <w:tr>
        <w:tc>
          <w:tcPr>
            <w:tcW w:type="dxa" w:w="1584"/>
            <w:shd w:fill="FFFFFF"/>
            <w:tcMar>
              <w:top w:w="80" w:type="dxa"/>
              <w:bottom w:w="80" w:type="dxa"/>
              <w:left w:w="120" w:type="dxa"/>
              <w:right w:w="120" w:type="dxa"/>
            </w:tcMar>
          </w:tcPr>
          <w:p>
            <w:pPr>
              <w:jc w:val="left"/>
            </w:pPr>
            <w:r>
              <w:rPr>
                <w:rFonts w:ascii="Calibri" w:hAnsi="Calibri"/>
                <w:color w:val="1F2937"/>
                <w:sz w:val="18"/>
              </w:rPr>
              <w:t>Web Client</w:t>
            </w:r>
          </w:p>
        </w:tc>
        <w:tc>
          <w:tcPr>
            <w:tcW w:type="dxa" w:w="2016"/>
            <w:shd w:fill="FFFFFF"/>
            <w:tcMar>
              <w:top w:w="80" w:type="dxa"/>
              <w:bottom w:w="80" w:type="dxa"/>
              <w:left w:w="120" w:type="dxa"/>
              <w:right w:w="120" w:type="dxa"/>
            </w:tcMar>
          </w:tcPr>
          <w:p>
            <w:pPr>
              <w:jc w:val="left"/>
            </w:pPr>
            <w:r>
              <w:rPr>
                <w:rFonts w:ascii="Calibri" w:hAnsi="Calibri"/>
                <w:color w:val="1F2937"/>
                <w:sz w:val="18"/>
              </w:rPr>
              <w:t>SvelteKit 2 (Svelte 5 Runes)</w:t>
            </w:r>
          </w:p>
        </w:tc>
        <w:tc>
          <w:tcPr>
            <w:tcW w:type="dxa" w:w="1728"/>
            <w:shd w:fill="FFFFFF"/>
            <w:tcMar>
              <w:top w:w="80" w:type="dxa"/>
              <w:bottom w:w="80" w:type="dxa"/>
              <w:left w:w="120" w:type="dxa"/>
              <w:right w:w="120" w:type="dxa"/>
            </w:tcMar>
          </w:tcPr>
          <w:p>
            <w:pPr>
              <w:jc w:val="left"/>
            </w:pPr>
            <w:r>
              <w:rPr>
                <w:rFonts w:ascii="Calibri" w:hAnsi="Calibri"/>
                <w:color w:val="1F2937"/>
                <w:sz w:val="18"/>
              </w:rPr>
              <w:t>Tailwind CSS v4</w:t>
            </w:r>
          </w:p>
        </w:tc>
        <w:tc>
          <w:tcPr>
            <w:tcW w:type="dxa" w:w="2160"/>
            <w:shd w:fill="FFFFFF"/>
            <w:tcMar>
              <w:top w:w="80" w:type="dxa"/>
              <w:bottom w:w="80" w:type="dxa"/>
              <w:left w:w="120" w:type="dxa"/>
              <w:right w:w="120" w:type="dxa"/>
            </w:tcMar>
          </w:tcPr>
          <w:p>
            <w:pPr>
              <w:jc w:val="left"/>
            </w:pPr>
            <w:r>
              <w:rPr>
                <w:rFonts w:ascii="Calibri" w:hAnsi="Calibri"/>
                <w:color w:val="1F2937"/>
                <w:sz w:val="18"/>
              </w:rPr>
              <w:t>shadcn-svelte (nova / zinc)</w:t>
            </w:r>
          </w:p>
        </w:tc>
        <w:tc>
          <w:tcPr>
            <w:tcW w:type="dxa" w:w="1872"/>
            <w:shd w:fill="FFFFFF"/>
            <w:tcMar>
              <w:top w:w="80" w:type="dxa"/>
              <w:bottom w:w="80" w:type="dxa"/>
              <w:left w:w="120" w:type="dxa"/>
              <w:right w:w="120" w:type="dxa"/>
            </w:tcMar>
          </w:tcPr>
          <w:p>
            <w:pPr>
              <w:jc w:val="left"/>
            </w:pPr>
            <w:r>
              <w:rPr>
                <w:rFonts w:ascii="Calibri" w:hAnsi="Calibri"/>
                <w:color w:val="1F2937"/>
                <w:sz w:val="18"/>
              </w:rPr>
              <w:t>Sidebars, Header Breadcrumbs &amp; Sheets</w:t>
            </w:r>
          </w:p>
        </w:tc>
      </w:tr>
      <w:tr>
        <w:tc>
          <w:tcPr>
            <w:tcW w:type="dxa" w:w="1584"/>
            <w:shd w:fill="F9FAFB"/>
            <w:tcMar>
              <w:top w:w="80" w:type="dxa"/>
              <w:bottom w:w="80" w:type="dxa"/>
              <w:left w:w="120" w:type="dxa"/>
              <w:right w:w="120" w:type="dxa"/>
            </w:tcMar>
          </w:tcPr>
          <w:p>
            <w:pPr>
              <w:jc w:val="left"/>
            </w:pPr>
            <w:r>
              <w:rPr>
                <w:rFonts w:ascii="Calibri" w:hAnsi="Calibri"/>
                <w:color w:val="1F2937"/>
                <w:sz w:val="18"/>
              </w:rPr>
              <w:t>Desktop App</w:t>
            </w:r>
          </w:p>
        </w:tc>
        <w:tc>
          <w:tcPr>
            <w:tcW w:type="dxa" w:w="2016"/>
            <w:shd w:fill="F9FAFB"/>
            <w:tcMar>
              <w:top w:w="80" w:type="dxa"/>
              <w:bottom w:w="80" w:type="dxa"/>
              <w:left w:w="120" w:type="dxa"/>
              <w:right w:w="120" w:type="dxa"/>
            </w:tcMar>
          </w:tcPr>
          <w:p>
            <w:pPr>
              <w:jc w:val="left"/>
            </w:pPr>
            <w:r>
              <w:rPr>
                <w:rFonts w:ascii="Calibri" w:hAnsi="Calibri"/>
                <w:color w:val="1F2937"/>
                <w:sz w:val="18"/>
              </w:rPr>
              <w:t>Tauri 2 + SvelteKit 2</w:t>
            </w:r>
          </w:p>
        </w:tc>
        <w:tc>
          <w:tcPr>
            <w:tcW w:type="dxa" w:w="1728"/>
            <w:shd w:fill="F9FAFB"/>
            <w:tcMar>
              <w:top w:w="80" w:type="dxa"/>
              <w:bottom w:w="80" w:type="dxa"/>
              <w:left w:w="120" w:type="dxa"/>
              <w:right w:w="120" w:type="dxa"/>
            </w:tcMar>
          </w:tcPr>
          <w:p>
            <w:pPr>
              <w:jc w:val="left"/>
            </w:pPr>
            <w:r>
              <w:rPr>
                <w:rFonts w:ascii="Calibri" w:hAnsi="Calibri"/>
                <w:color w:val="1F2937"/>
                <w:sz w:val="18"/>
              </w:rPr>
              <w:t>Tailwind CSS v4</w:t>
            </w:r>
          </w:p>
        </w:tc>
        <w:tc>
          <w:tcPr>
            <w:tcW w:type="dxa" w:w="2160"/>
            <w:shd w:fill="F9FAFB"/>
            <w:tcMar>
              <w:top w:w="80" w:type="dxa"/>
              <w:bottom w:w="80" w:type="dxa"/>
              <w:left w:w="120" w:type="dxa"/>
              <w:right w:w="120" w:type="dxa"/>
            </w:tcMar>
          </w:tcPr>
          <w:p>
            <w:pPr>
              <w:jc w:val="left"/>
            </w:pPr>
            <w:r>
              <w:rPr>
                <w:rFonts w:ascii="Calibri" w:hAnsi="Calibri"/>
                <w:color w:val="1F2937"/>
                <w:sz w:val="18"/>
              </w:rPr>
              <w:t>shadcn-svelte (nova / zinc)</w:t>
            </w:r>
          </w:p>
        </w:tc>
        <w:tc>
          <w:tcPr>
            <w:tcW w:type="dxa" w:w="1872"/>
            <w:shd w:fill="F9FAFB"/>
            <w:tcMar>
              <w:top w:w="80" w:type="dxa"/>
              <w:bottom w:w="80" w:type="dxa"/>
              <w:left w:w="120" w:type="dxa"/>
              <w:right w:w="120" w:type="dxa"/>
            </w:tcMar>
          </w:tcPr>
          <w:p>
            <w:pPr>
              <w:jc w:val="left"/>
            </w:pPr>
            <w:r>
              <w:rPr>
                <w:rFonts w:ascii="Calibri" w:hAnsi="Calibri"/>
                <w:color w:val="1F2937"/>
                <w:sz w:val="18"/>
              </w:rPr>
              <w:t>Native OS Menus &amp; Multi-Window Support</w:t>
            </w:r>
          </w:p>
        </w:tc>
      </w:tr>
      <w:tr>
        <w:tc>
          <w:tcPr>
            <w:tcW w:type="dxa" w:w="1584"/>
            <w:shd w:fill="FFFFFF"/>
            <w:tcMar>
              <w:top w:w="80" w:type="dxa"/>
              <w:bottom w:w="80" w:type="dxa"/>
              <w:left w:w="120" w:type="dxa"/>
              <w:right w:w="120" w:type="dxa"/>
            </w:tcMar>
          </w:tcPr>
          <w:p>
            <w:pPr>
              <w:jc w:val="left"/>
            </w:pPr>
            <w:r>
              <w:rPr>
                <w:rFonts w:ascii="Calibri" w:hAnsi="Calibri"/>
                <w:color w:val="1F2937"/>
                <w:sz w:val="18"/>
              </w:rPr>
              <w:t>Native Mobile</w:t>
            </w:r>
          </w:p>
        </w:tc>
        <w:tc>
          <w:tcPr>
            <w:tcW w:type="dxa" w:w="2016"/>
            <w:shd w:fill="FFFFFF"/>
            <w:tcMar>
              <w:top w:w="80" w:type="dxa"/>
              <w:bottom w:w="80" w:type="dxa"/>
              <w:left w:w="120" w:type="dxa"/>
              <w:right w:w="120" w:type="dxa"/>
            </w:tcMar>
          </w:tcPr>
          <w:p>
            <w:pPr>
              <w:jc w:val="left"/>
            </w:pPr>
            <w:r>
              <w:rPr>
                <w:rFonts w:ascii="Calibri" w:hAnsi="Calibri"/>
                <w:color w:val="1F2937"/>
                <w:sz w:val="18"/>
              </w:rPr>
              <w:t>React Native (Expo SDK 52+)</w:t>
            </w:r>
          </w:p>
        </w:tc>
        <w:tc>
          <w:tcPr>
            <w:tcW w:type="dxa" w:w="1728"/>
            <w:shd w:fill="FFFFFF"/>
            <w:tcMar>
              <w:top w:w="80" w:type="dxa"/>
              <w:bottom w:w="80" w:type="dxa"/>
              <w:left w:w="120" w:type="dxa"/>
              <w:right w:w="120" w:type="dxa"/>
            </w:tcMar>
          </w:tcPr>
          <w:p>
            <w:pPr>
              <w:jc w:val="left"/>
            </w:pPr>
            <w:r>
              <w:rPr>
                <w:rFonts w:ascii="Calibri" w:hAnsi="Calibri"/>
                <w:color w:val="1F2937"/>
                <w:sz w:val="18"/>
              </w:rPr>
              <w:t>NativeWind v4 (Tailwind for RN)</w:t>
            </w:r>
          </w:p>
        </w:tc>
        <w:tc>
          <w:tcPr>
            <w:tcW w:type="dxa" w:w="2160"/>
            <w:shd w:fill="FFFFFF"/>
            <w:tcMar>
              <w:top w:w="80" w:type="dxa"/>
              <w:bottom w:w="80" w:type="dxa"/>
              <w:left w:w="120" w:type="dxa"/>
              <w:right w:w="120" w:type="dxa"/>
            </w:tcMar>
          </w:tcPr>
          <w:p>
            <w:pPr>
              <w:jc w:val="left"/>
            </w:pPr>
            <w:r>
              <w:rPr>
                <w:rFonts w:ascii="Calibri" w:hAnsi="Calibri"/>
                <w:color w:val="1F2937"/>
                <w:sz w:val="18"/>
              </w:rPr>
              <w:t>React Native Reusables (@rn-primitives)</w:t>
            </w:r>
          </w:p>
        </w:tc>
        <w:tc>
          <w:tcPr>
            <w:tcW w:type="dxa" w:w="1872"/>
            <w:shd w:fill="FFFFFF"/>
            <w:tcMar>
              <w:top w:w="80" w:type="dxa"/>
              <w:bottom w:w="80" w:type="dxa"/>
              <w:left w:w="120" w:type="dxa"/>
              <w:right w:w="120" w:type="dxa"/>
            </w:tcMar>
          </w:tcPr>
          <w:p>
            <w:pPr>
              <w:jc w:val="left"/>
            </w:pPr>
            <w:r>
              <w:rPr>
                <w:rFonts w:ascii="Calibri" w:hAnsi="Calibri"/>
                <w:color w:val="1F2937"/>
                <w:sz w:val="18"/>
              </w:rPr>
              <w:t>Bottom Action Bar &amp; Native Bottom Sheets</w:t>
            </w:r>
          </w:p>
        </w:tc>
      </w:tr>
    </w:tbl>
    <w:p>
      <w:pPr>
        <w:pStyle w:val="Heading2"/>
      </w:pPr>
      <w:r>
        <w:t>5.3 Visual Workbench Aesthetic &amp; Mobile Responsiveness</w:t>
      </w:r>
    </w:p>
    <w:p>
      <w:r>
        <w:t>- Aesthetic: Inspired by MongoDB Compass and Linear developer workbenches. Clean, high-contrast borders (#334155 / #e2e8f0), dark zinc surfaces (#080c14 / #0d1322) and crisp light slate surfaces (#f8fafc / #ffffff).</w:t>
        <w:br/>
        <w:t>- Dual Solid Primary Palette: Solid Purple (#7c3aed) for structural hierarchy and AI grounding; Solid Red (#dc2626) for invariant breach alerts and timeline mutations. Zero marketing gradients.</w:t>
        <w:br/>
        <w:t>- Android Viewport Parity: Rigorously engineered for narrow viewports (280px-340px foldable cover screens, 360px-390px compact Androids), 100dvh virtual keyboard compensation, and a strict Zero Horizontal Overflow Guarantee.</w:t>
      </w:r>
    </w:p>
    <w:p>
      <w:r>
        <w:br w:type="page"/>
      </w:r>
    </w:p>
    <w:p>
      <w:pPr>
        <w:pStyle w:val="Heading1"/>
      </w:pPr>
      <w:r>
        <w:rPr>
          <w:color w:val="7C3AED"/>
        </w:rPr>
        <w:t>6. Cache, Performance &amp; State Snapshot Architecture</w:t>
      </w:r>
    </w:p>
    <w:p>
      <w:r>
        <w:t>To guarantee sub-5ms state retrieval across narratives with thousands of events, NovWrite implements a 5-tier Redis 7.2 caching topology.</w:t>
      </w:r>
    </w:p>
    <w:tbl>
      <w:tblPr>
        <w:tblW w:type="auto" w:w="0"/>
        <w:jc w:val="center"/>
        <w:tblLook w:firstColumn="1" w:firstRow="1" w:lastColumn="0" w:lastRow="0" w:noHBand="0" w:noVBand="1" w:val="04A0"/>
      </w:tblPr>
      <w:tblGrid>
        <w:gridCol w:w="1872"/>
        <w:gridCol w:w="1872"/>
        <w:gridCol w:w="1872"/>
        <w:gridCol w:w="1872"/>
        <w:gridCol w:w="1872"/>
      </w:tblGrid>
      <w:tr>
        <w:tc>
          <w:tcPr>
            <w:tcW w:type="dxa" w:w="1728"/>
            <w:shd w:fill="7C3AED"/>
            <w:tcMar>
              <w:top w:w="100" w:type="dxa"/>
              <w:bottom w:w="100" w:type="dxa"/>
              <w:left w:w="120" w:type="dxa"/>
              <w:right w:w="120" w:type="dxa"/>
            </w:tcMar>
          </w:tcPr>
          <w:p>
            <w:pPr>
              <w:jc w:val="left"/>
            </w:pPr>
            <w:r>
              <w:rPr>
                <w:rFonts w:ascii="Calibri" w:hAnsi="Calibri"/>
                <w:b/>
                <w:color w:val="FFFFFF"/>
                <w:sz w:val="19"/>
              </w:rPr>
              <w:t>Cache Tier</w:t>
            </w:r>
          </w:p>
        </w:tc>
        <w:tc>
          <w:tcPr>
            <w:tcW w:type="dxa" w:w="3024"/>
            <w:shd w:fill="7C3AED"/>
            <w:tcMar>
              <w:top w:w="100" w:type="dxa"/>
              <w:bottom w:w="100" w:type="dxa"/>
              <w:left w:w="120" w:type="dxa"/>
              <w:right w:w="120" w:type="dxa"/>
            </w:tcMar>
          </w:tcPr>
          <w:p>
            <w:pPr>
              <w:jc w:val="left"/>
            </w:pPr>
            <w:r>
              <w:rPr>
                <w:rFonts w:ascii="Calibri" w:hAnsi="Calibri"/>
                <w:b/>
                <w:color w:val="FFFFFF"/>
                <w:sz w:val="19"/>
              </w:rPr>
              <w:t>Redis Key Namespace Pattern</w:t>
            </w:r>
          </w:p>
        </w:tc>
        <w:tc>
          <w:tcPr>
            <w:tcW w:type="dxa" w:w="1296"/>
            <w:shd w:fill="7C3AED"/>
            <w:tcMar>
              <w:top w:w="100" w:type="dxa"/>
              <w:bottom w:w="100" w:type="dxa"/>
              <w:left w:w="120" w:type="dxa"/>
              <w:right w:w="120" w:type="dxa"/>
            </w:tcMar>
          </w:tcPr>
          <w:p>
            <w:pPr>
              <w:jc w:val="left"/>
            </w:pPr>
            <w:r>
              <w:rPr>
                <w:rFonts w:ascii="Calibri" w:hAnsi="Calibri"/>
                <w:b/>
                <w:color w:val="FFFFFF"/>
                <w:sz w:val="19"/>
              </w:rPr>
              <w:t>Payload Format</w:t>
            </w:r>
          </w:p>
        </w:tc>
        <w:tc>
          <w:tcPr>
            <w:tcW w:type="dxa" w:w="1152"/>
            <w:shd w:fill="7C3AED"/>
            <w:tcMar>
              <w:top w:w="100" w:type="dxa"/>
              <w:bottom w:w="100" w:type="dxa"/>
              <w:left w:w="120" w:type="dxa"/>
              <w:right w:w="120" w:type="dxa"/>
            </w:tcMar>
          </w:tcPr>
          <w:p>
            <w:pPr>
              <w:jc w:val="left"/>
            </w:pPr>
            <w:r>
              <w:rPr>
                <w:rFonts w:ascii="Calibri" w:hAnsi="Calibri"/>
                <w:b/>
                <w:color w:val="FFFFFF"/>
                <w:sz w:val="19"/>
              </w:rPr>
              <w:t>TTL</w:t>
            </w:r>
          </w:p>
        </w:tc>
        <w:tc>
          <w:tcPr>
            <w:tcW w:type="dxa" w:w="2160"/>
            <w:shd w:fill="7C3AED"/>
            <w:tcMar>
              <w:top w:w="100" w:type="dxa"/>
              <w:bottom w:w="100" w:type="dxa"/>
              <w:left w:w="120" w:type="dxa"/>
              <w:right w:w="120" w:type="dxa"/>
            </w:tcMar>
          </w:tcPr>
          <w:p>
            <w:pPr>
              <w:jc w:val="left"/>
            </w:pPr>
            <w:r>
              <w:rPr>
                <w:rFonts w:ascii="Calibri" w:hAnsi="Calibri"/>
                <w:b/>
                <w:color w:val="FFFFFF"/>
                <w:sz w:val="19"/>
              </w:rPr>
              <w:t>Eviction / Invalidation Protocol</w:t>
            </w:r>
          </w:p>
        </w:tc>
      </w:tr>
      <w:tr>
        <w:tc>
          <w:tcPr>
            <w:tcW w:type="dxa" w:w="1728"/>
            <w:shd w:fill="FFFFFF"/>
            <w:tcMar>
              <w:top w:w="80" w:type="dxa"/>
              <w:bottom w:w="80" w:type="dxa"/>
              <w:left w:w="120" w:type="dxa"/>
              <w:right w:w="120" w:type="dxa"/>
            </w:tcMar>
          </w:tcPr>
          <w:p>
            <w:pPr>
              <w:jc w:val="left"/>
            </w:pPr>
            <w:r>
              <w:rPr>
                <w:rFonts w:ascii="Calibri" w:hAnsi="Calibri"/>
                <w:color w:val="1F2937"/>
                <w:sz w:val="18"/>
              </w:rPr>
              <w:t>1. Auth &amp; Session</w:t>
            </w:r>
          </w:p>
        </w:tc>
        <w:tc>
          <w:tcPr>
            <w:tcW w:type="dxa" w:w="3024"/>
            <w:shd w:fill="FFFFFF"/>
            <w:tcMar>
              <w:top w:w="80" w:type="dxa"/>
              <w:bottom w:w="80" w:type="dxa"/>
              <w:left w:w="120" w:type="dxa"/>
              <w:right w:w="120" w:type="dxa"/>
            </w:tcMar>
          </w:tcPr>
          <w:p>
            <w:pPr>
              <w:jc w:val="left"/>
            </w:pPr>
            <w:r>
              <w:rPr>
                <w:rFonts w:ascii="Calibri" w:hAnsi="Calibri"/>
                <w:color w:val="1F2937"/>
                <w:sz w:val="18"/>
              </w:rPr>
              <w:t>novwrite:v1:user:{id}:session:{id}</w:t>
            </w:r>
          </w:p>
        </w:tc>
        <w:tc>
          <w:tcPr>
            <w:tcW w:type="dxa" w:w="1296"/>
            <w:shd w:fill="FFFFFF"/>
            <w:tcMar>
              <w:top w:w="80" w:type="dxa"/>
              <w:bottom w:w="80" w:type="dxa"/>
              <w:left w:w="120" w:type="dxa"/>
              <w:right w:w="120" w:type="dxa"/>
            </w:tcMar>
          </w:tcPr>
          <w:p>
            <w:pPr>
              <w:jc w:val="left"/>
            </w:pPr>
            <w:r>
              <w:rPr>
                <w:rFonts w:ascii="Calibri" w:hAnsi="Calibri"/>
                <w:color w:val="1F2937"/>
                <w:sz w:val="18"/>
              </w:rPr>
              <w:t>JSON</w:t>
            </w:r>
          </w:p>
        </w:tc>
        <w:tc>
          <w:tcPr>
            <w:tcW w:type="dxa" w:w="1152"/>
            <w:shd w:fill="FFFFFF"/>
            <w:tcMar>
              <w:top w:w="80" w:type="dxa"/>
              <w:bottom w:w="80" w:type="dxa"/>
              <w:left w:w="120" w:type="dxa"/>
              <w:right w:w="120" w:type="dxa"/>
            </w:tcMar>
          </w:tcPr>
          <w:p>
            <w:pPr>
              <w:jc w:val="left"/>
            </w:pPr>
            <w:r>
              <w:rPr>
                <w:rFonts w:ascii="Calibri" w:hAnsi="Calibri"/>
                <w:color w:val="1F2937"/>
                <w:sz w:val="18"/>
              </w:rPr>
              <w:t>1 Hour</w:t>
            </w:r>
          </w:p>
        </w:tc>
        <w:tc>
          <w:tcPr>
            <w:tcW w:type="dxa" w:w="2160"/>
            <w:shd w:fill="FFFFFF"/>
            <w:tcMar>
              <w:top w:w="80" w:type="dxa"/>
              <w:bottom w:w="80" w:type="dxa"/>
              <w:left w:w="120" w:type="dxa"/>
              <w:right w:w="120" w:type="dxa"/>
            </w:tcMar>
          </w:tcPr>
          <w:p>
            <w:pPr>
              <w:jc w:val="left"/>
            </w:pPr>
            <w:r>
              <w:rPr>
                <w:rFonts w:ascii="Calibri" w:hAnsi="Calibri"/>
                <w:color w:val="1F2937"/>
                <w:sz w:val="18"/>
              </w:rPr>
              <w:t>Sliding TTL Expiry</w:t>
            </w:r>
          </w:p>
        </w:tc>
      </w:tr>
      <w:tr>
        <w:tc>
          <w:tcPr>
            <w:tcW w:type="dxa" w:w="1728"/>
            <w:shd w:fill="F9FAFB"/>
            <w:tcMar>
              <w:top w:w="80" w:type="dxa"/>
              <w:bottom w:w="80" w:type="dxa"/>
              <w:left w:w="120" w:type="dxa"/>
              <w:right w:w="120" w:type="dxa"/>
            </w:tcMar>
          </w:tcPr>
          <w:p>
            <w:pPr>
              <w:jc w:val="left"/>
            </w:pPr>
            <w:r>
              <w:rPr>
                <w:rFonts w:ascii="Calibri" w:hAnsi="Calibri"/>
                <w:color w:val="1F2937"/>
                <w:sz w:val="18"/>
              </w:rPr>
              <w:t>2. State Snapshot</w:t>
            </w:r>
          </w:p>
        </w:tc>
        <w:tc>
          <w:tcPr>
            <w:tcW w:type="dxa" w:w="3024"/>
            <w:shd w:fill="F9FAFB"/>
            <w:tcMar>
              <w:top w:w="80" w:type="dxa"/>
              <w:bottom w:w="80" w:type="dxa"/>
              <w:left w:w="120" w:type="dxa"/>
              <w:right w:w="120" w:type="dxa"/>
            </w:tcMar>
          </w:tcPr>
          <w:p>
            <w:pPr>
              <w:jc w:val="left"/>
            </w:pPr>
            <w:r>
              <w:rPr>
                <w:rFonts w:ascii="Calibri" w:hAnsi="Calibri"/>
                <w:color w:val="1F2937"/>
                <w:sz w:val="18"/>
              </w:rPr>
              <w:t>novwrite:v1:proj:{id}:state:seq:{n}</w:t>
            </w:r>
          </w:p>
        </w:tc>
        <w:tc>
          <w:tcPr>
            <w:tcW w:type="dxa" w:w="1296"/>
            <w:shd w:fill="F9FAFB"/>
            <w:tcMar>
              <w:top w:w="80" w:type="dxa"/>
              <w:bottom w:w="80" w:type="dxa"/>
              <w:left w:w="120" w:type="dxa"/>
              <w:right w:w="120" w:type="dxa"/>
            </w:tcMar>
          </w:tcPr>
          <w:p>
            <w:pPr>
              <w:jc w:val="left"/>
            </w:pPr>
            <w:r>
              <w:rPr>
                <w:rFonts w:ascii="Calibri" w:hAnsi="Calibri"/>
                <w:color w:val="1F2937"/>
                <w:sz w:val="18"/>
              </w:rPr>
              <w:t>Protobuf / LZ4</w:t>
            </w:r>
          </w:p>
        </w:tc>
        <w:tc>
          <w:tcPr>
            <w:tcW w:type="dxa" w:w="1152"/>
            <w:shd w:fill="F9FAFB"/>
            <w:tcMar>
              <w:top w:w="80" w:type="dxa"/>
              <w:bottom w:w="80" w:type="dxa"/>
              <w:left w:w="120" w:type="dxa"/>
              <w:right w:w="120" w:type="dxa"/>
            </w:tcMar>
          </w:tcPr>
          <w:p>
            <w:pPr>
              <w:jc w:val="left"/>
            </w:pPr>
            <w:r>
              <w:rPr>
                <w:rFonts w:ascii="Calibri" w:hAnsi="Calibri"/>
                <w:color w:val="1F2937"/>
                <w:sz w:val="18"/>
              </w:rPr>
              <w:t>24 Hours</w:t>
            </w:r>
          </w:p>
        </w:tc>
        <w:tc>
          <w:tcPr>
            <w:tcW w:type="dxa" w:w="2160"/>
            <w:shd w:fill="F9FAFB"/>
            <w:tcMar>
              <w:top w:w="80" w:type="dxa"/>
              <w:bottom w:w="80" w:type="dxa"/>
              <w:left w:w="120" w:type="dxa"/>
              <w:right w:w="120" w:type="dxa"/>
            </w:tcMar>
          </w:tcPr>
          <w:p>
            <w:pPr>
              <w:jc w:val="left"/>
            </w:pPr>
            <w:r>
              <w:rPr>
                <w:rFonts w:ascii="Calibri" w:hAnsi="Calibri"/>
                <w:color w:val="1F2937"/>
                <w:sz w:val="18"/>
              </w:rPr>
              <w:t>Cascading Invalidation on Event Edit (seq &gt;= K)</w:t>
            </w:r>
          </w:p>
        </w:tc>
      </w:tr>
      <w:tr>
        <w:tc>
          <w:tcPr>
            <w:tcW w:type="dxa" w:w="1728"/>
            <w:shd w:fill="FFFFFF"/>
            <w:tcMar>
              <w:top w:w="80" w:type="dxa"/>
              <w:bottom w:w="80" w:type="dxa"/>
              <w:left w:w="120" w:type="dxa"/>
              <w:right w:w="120" w:type="dxa"/>
            </w:tcMar>
          </w:tcPr>
          <w:p>
            <w:pPr>
              <w:jc w:val="left"/>
            </w:pPr>
            <w:r>
              <w:rPr>
                <w:rFonts w:ascii="Calibri" w:hAnsi="Calibri"/>
                <w:color w:val="1F2937"/>
                <w:sz w:val="18"/>
              </w:rPr>
              <w:t>3. Schema &amp; Rules</w:t>
            </w:r>
          </w:p>
        </w:tc>
        <w:tc>
          <w:tcPr>
            <w:tcW w:type="dxa" w:w="3024"/>
            <w:shd w:fill="FFFFFF"/>
            <w:tcMar>
              <w:top w:w="80" w:type="dxa"/>
              <w:bottom w:w="80" w:type="dxa"/>
              <w:left w:w="120" w:type="dxa"/>
              <w:right w:w="120" w:type="dxa"/>
            </w:tcMar>
          </w:tcPr>
          <w:p>
            <w:pPr>
              <w:jc w:val="left"/>
            </w:pPr>
            <w:r>
              <w:rPr>
                <w:rFonts w:ascii="Calibri" w:hAnsi="Calibri"/>
                <w:color w:val="1F2937"/>
                <w:sz w:val="18"/>
              </w:rPr>
              <w:t>novwrite:v1:proj:{id}:schema:rules</w:t>
            </w:r>
          </w:p>
        </w:tc>
        <w:tc>
          <w:tcPr>
            <w:tcW w:type="dxa" w:w="1296"/>
            <w:shd w:fill="FFFFFF"/>
            <w:tcMar>
              <w:top w:w="80" w:type="dxa"/>
              <w:bottom w:w="80" w:type="dxa"/>
              <w:left w:w="120" w:type="dxa"/>
              <w:right w:w="120" w:type="dxa"/>
            </w:tcMar>
          </w:tcPr>
          <w:p>
            <w:pPr>
              <w:jc w:val="left"/>
            </w:pPr>
            <w:r>
              <w:rPr>
                <w:rFonts w:ascii="Calibri" w:hAnsi="Calibri"/>
                <w:color w:val="1F2937"/>
                <w:sz w:val="18"/>
              </w:rPr>
              <w:t>JSON</w:t>
            </w:r>
          </w:p>
        </w:tc>
        <w:tc>
          <w:tcPr>
            <w:tcW w:type="dxa" w:w="1152"/>
            <w:shd w:fill="FFFFFF"/>
            <w:tcMar>
              <w:top w:w="80" w:type="dxa"/>
              <w:bottom w:w="80" w:type="dxa"/>
              <w:left w:w="120" w:type="dxa"/>
              <w:right w:w="120" w:type="dxa"/>
            </w:tcMar>
          </w:tcPr>
          <w:p>
            <w:pPr>
              <w:jc w:val="left"/>
            </w:pPr>
            <w:r>
              <w:rPr>
                <w:rFonts w:ascii="Calibri" w:hAnsi="Calibri"/>
                <w:color w:val="1F2937"/>
                <w:sz w:val="18"/>
              </w:rPr>
              <w:t>12 Hours</w:t>
            </w:r>
          </w:p>
        </w:tc>
        <w:tc>
          <w:tcPr>
            <w:tcW w:type="dxa" w:w="2160"/>
            <w:shd w:fill="FFFFFF"/>
            <w:tcMar>
              <w:top w:w="80" w:type="dxa"/>
              <w:bottom w:w="80" w:type="dxa"/>
              <w:left w:w="120" w:type="dxa"/>
              <w:right w:w="120" w:type="dxa"/>
            </w:tcMar>
          </w:tcPr>
          <w:p>
            <w:pPr>
              <w:jc w:val="left"/>
            </w:pPr>
            <w:r>
              <w:rPr>
                <w:rFonts w:ascii="Calibri" w:hAnsi="Calibri"/>
                <w:color w:val="1F2937"/>
                <w:sz w:val="18"/>
              </w:rPr>
              <w:t>Write-Through Invalidation on Schema Mutation</w:t>
            </w:r>
          </w:p>
        </w:tc>
      </w:tr>
      <w:tr>
        <w:tc>
          <w:tcPr>
            <w:tcW w:type="dxa" w:w="1728"/>
            <w:shd w:fill="F9FAFB"/>
            <w:tcMar>
              <w:top w:w="80" w:type="dxa"/>
              <w:bottom w:w="80" w:type="dxa"/>
              <w:left w:w="120" w:type="dxa"/>
              <w:right w:w="120" w:type="dxa"/>
            </w:tcMar>
          </w:tcPr>
          <w:p>
            <w:pPr>
              <w:jc w:val="left"/>
            </w:pPr>
            <w:r>
              <w:rPr>
                <w:rFonts w:ascii="Calibri" w:hAnsi="Calibri"/>
                <w:color w:val="1F2937"/>
                <w:sz w:val="18"/>
              </w:rPr>
              <w:t>4. AI Grounding</w:t>
            </w:r>
          </w:p>
        </w:tc>
        <w:tc>
          <w:tcPr>
            <w:tcW w:type="dxa" w:w="3024"/>
            <w:shd w:fill="F9FAFB"/>
            <w:tcMar>
              <w:top w:w="80" w:type="dxa"/>
              <w:bottom w:w="80" w:type="dxa"/>
              <w:left w:w="120" w:type="dxa"/>
              <w:right w:w="120" w:type="dxa"/>
            </w:tcMar>
          </w:tcPr>
          <w:p>
            <w:pPr>
              <w:jc w:val="left"/>
            </w:pPr>
            <w:r>
              <w:rPr>
                <w:rFonts w:ascii="Calibri" w:hAnsi="Calibri"/>
                <w:color w:val="1F2937"/>
                <w:sz w:val="18"/>
              </w:rPr>
              <w:t>novwrite:v1:proj:{id}:ai:grounding:{sceneId}</w:t>
            </w:r>
          </w:p>
        </w:tc>
        <w:tc>
          <w:tcPr>
            <w:tcW w:type="dxa" w:w="1296"/>
            <w:shd w:fill="F9FAFB"/>
            <w:tcMar>
              <w:top w:w="80" w:type="dxa"/>
              <w:bottom w:w="80" w:type="dxa"/>
              <w:left w:w="120" w:type="dxa"/>
              <w:right w:w="120" w:type="dxa"/>
            </w:tcMar>
          </w:tcPr>
          <w:p>
            <w:pPr>
              <w:jc w:val="left"/>
            </w:pPr>
            <w:r>
              <w:rPr>
                <w:rFonts w:ascii="Calibri" w:hAnsi="Calibri"/>
                <w:color w:val="1F2937"/>
                <w:sz w:val="18"/>
              </w:rPr>
              <w:t>JSON</w:t>
            </w:r>
          </w:p>
        </w:tc>
        <w:tc>
          <w:tcPr>
            <w:tcW w:type="dxa" w:w="1152"/>
            <w:shd w:fill="F9FAFB"/>
            <w:tcMar>
              <w:top w:w="80" w:type="dxa"/>
              <w:bottom w:w="80" w:type="dxa"/>
              <w:left w:w="120" w:type="dxa"/>
              <w:right w:w="120" w:type="dxa"/>
            </w:tcMar>
          </w:tcPr>
          <w:p>
            <w:pPr>
              <w:jc w:val="left"/>
            </w:pPr>
            <w:r>
              <w:rPr>
                <w:rFonts w:ascii="Calibri" w:hAnsi="Calibri"/>
                <w:color w:val="1F2937"/>
                <w:sz w:val="18"/>
              </w:rPr>
              <w:t>30 Mins</w:t>
            </w:r>
          </w:p>
        </w:tc>
        <w:tc>
          <w:tcPr>
            <w:tcW w:type="dxa" w:w="2160"/>
            <w:shd w:fill="F9FAFB"/>
            <w:tcMar>
              <w:top w:w="80" w:type="dxa"/>
              <w:bottom w:w="80" w:type="dxa"/>
              <w:left w:w="120" w:type="dxa"/>
              <w:right w:w="120" w:type="dxa"/>
            </w:tcMar>
          </w:tcPr>
          <w:p>
            <w:pPr>
              <w:jc w:val="left"/>
            </w:pPr>
            <w:r>
              <w:rPr>
                <w:rFonts w:ascii="Calibri" w:hAnsi="Calibri"/>
                <w:color w:val="1F2937"/>
                <w:sz w:val="18"/>
              </w:rPr>
              <w:t>LRU Memory Eviction</w:t>
            </w:r>
          </w:p>
        </w:tc>
      </w:tr>
      <w:tr>
        <w:tc>
          <w:tcPr>
            <w:tcW w:type="dxa" w:w="1728"/>
            <w:shd w:fill="FFFFFF"/>
            <w:tcMar>
              <w:top w:w="80" w:type="dxa"/>
              <w:bottom w:w="80" w:type="dxa"/>
              <w:left w:w="120" w:type="dxa"/>
              <w:right w:w="120" w:type="dxa"/>
            </w:tcMar>
          </w:tcPr>
          <w:p>
            <w:pPr>
              <w:jc w:val="left"/>
            </w:pPr>
            <w:r>
              <w:rPr>
                <w:rFonts w:ascii="Calibri" w:hAnsi="Calibri"/>
                <w:color w:val="1F2937"/>
                <w:sz w:val="18"/>
              </w:rPr>
              <w:t>5. Distributed Lock</w:t>
            </w:r>
          </w:p>
        </w:tc>
        <w:tc>
          <w:tcPr>
            <w:tcW w:type="dxa" w:w="3024"/>
            <w:shd w:fill="FFFFFF"/>
            <w:tcMar>
              <w:top w:w="80" w:type="dxa"/>
              <w:bottom w:w="80" w:type="dxa"/>
              <w:left w:w="120" w:type="dxa"/>
              <w:right w:w="120" w:type="dxa"/>
            </w:tcMar>
          </w:tcPr>
          <w:p>
            <w:pPr>
              <w:jc w:val="left"/>
            </w:pPr>
            <w:r>
              <w:rPr>
                <w:rFonts w:ascii="Calibri" w:hAnsi="Calibri"/>
                <w:color w:val="1F2937"/>
                <w:sz w:val="18"/>
              </w:rPr>
              <w:t>novwrite:v1:proj:{id}:lock:fold:seq:{n}</w:t>
            </w:r>
          </w:p>
        </w:tc>
        <w:tc>
          <w:tcPr>
            <w:tcW w:type="dxa" w:w="1296"/>
            <w:shd w:fill="FFFFFF"/>
            <w:tcMar>
              <w:top w:w="80" w:type="dxa"/>
              <w:bottom w:w="80" w:type="dxa"/>
              <w:left w:w="120" w:type="dxa"/>
              <w:right w:w="120" w:type="dxa"/>
            </w:tcMar>
          </w:tcPr>
          <w:p>
            <w:pPr>
              <w:jc w:val="left"/>
            </w:pPr>
            <w:r>
              <w:rPr>
                <w:rFonts w:ascii="Calibri" w:hAnsi="Calibri"/>
                <w:color w:val="1F2937"/>
                <w:sz w:val="18"/>
              </w:rPr>
              <w:t>String</w:t>
            </w:r>
          </w:p>
        </w:tc>
        <w:tc>
          <w:tcPr>
            <w:tcW w:type="dxa" w:w="1152"/>
            <w:shd w:fill="FFFFFF"/>
            <w:tcMar>
              <w:top w:w="80" w:type="dxa"/>
              <w:bottom w:w="80" w:type="dxa"/>
              <w:left w:w="120" w:type="dxa"/>
              <w:right w:w="120" w:type="dxa"/>
            </w:tcMar>
          </w:tcPr>
          <w:p>
            <w:pPr>
              <w:jc w:val="left"/>
            </w:pPr>
            <w:r>
              <w:rPr>
                <w:rFonts w:ascii="Calibri" w:hAnsi="Calibri"/>
                <w:color w:val="1F2937"/>
                <w:sz w:val="18"/>
              </w:rPr>
              <w:t>10 Secs</w:t>
            </w:r>
          </w:p>
        </w:tc>
        <w:tc>
          <w:tcPr>
            <w:tcW w:type="dxa" w:w="2160"/>
            <w:shd w:fill="FFFFFF"/>
            <w:tcMar>
              <w:top w:w="80" w:type="dxa"/>
              <w:bottom w:w="80" w:type="dxa"/>
              <w:left w:w="120" w:type="dxa"/>
              <w:right w:w="120" w:type="dxa"/>
            </w:tcMar>
          </w:tcPr>
          <w:p>
            <w:pPr>
              <w:jc w:val="left"/>
            </w:pPr>
            <w:r>
              <w:rPr>
                <w:rFonts w:ascii="Calibri" w:hAnsi="Calibri"/>
                <w:color w:val="1F2937"/>
                <w:sz w:val="18"/>
              </w:rPr>
              <w:t>Atomic SET NX EX Mutex (Thundering Herd Defense)</w:t>
            </w:r>
          </w:p>
        </w:tc>
      </w:tr>
    </w:tbl>
    <w:p>
      <w:pPr>
        <w:pStyle w:val="Heading2"/>
      </w:pPr>
      <w:r>
        <w:t>6.1 Cascading Invalidation Protocol on Retroactive Edits</w:t>
      </w:r>
    </w:p>
    <w:p>
      <w:r>
        <w:t>When an author edits or inserts an event at historical sequence K, all cached state snapshots with sequence &gt;= K in that project become invalid. The Go backend executes atomic key eviction via Redis UNLINK, broadcasts a retroactive invalidation message over Redis Pub/Sub, and pushes live SSE updates to all connected web, desktop, and mobile clients.</w:t>
      </w:r>
    </w:p>
    <w:p>
      <w:pPr>
        <w:pStyle w:val="Heading1"/>
      </w:pPr>
      <w:r>
        <w:rPr>
          <w:color w:val="7C3AED"/>
        </w:rPr>
        <w:t>7. Quality Assurance, Testing &amp; DevOps</w:t>
      </w:r>
    </w:p>
    <w:p>
      <w:r>
        <w:t>NovWrite enforces rigorous software engineering standards to guarantee codebase reliability and maintainability:</w:t>
      </w:r>
    </w:p>
    <w:p>
      <w:r>
        <w:rPr>
          <w:b/>
        </w:rPr>
        <w:t xml:space="preserve">1. Mandatory Single-Change Policy: </w:t>
      </w:r>
      <w:r>
        <w:t>All contributions and agent tasks execute exactly one atomic change at a time, preventing regression compounding.</w:t>
        <w:br/>
      </w:r>
      <w:r>
        <w:rPr>
          <w:b/>
        </w:rPr>
        <w:t xml:space="preserve">2. Signed Cryptographic Commits: </w:t>
      </w:r>
      <w:r>
        <w:t>All git commits are cryptographically signed (`git commit -S`) and formatted according to `&lt;type&gt;(&lt;domain&gt;): &lt;expression&gt;` standard.</w:t>
        <w:br/>
      </w:r>
      <w:r>
        <w:rPr>
          <w:b/>
        </w:rPr>
        <w:t xml:space="preserve">3. 100% Test Coverage Target &amp; Dependency Injection: </w:t>
      </w:r>
      <w:r>
        <w:t>All domain logic, fold algorithms, and rule validators use constructor-injected mockable interfaces with co-located unit tests.</w:t>
        <w:br/>
      </w:r>
      <w:r>
        <w:rPr>
          <w:b/>
        </w:rPr>
        <w:t xml:space="preserve">4. Package Manager Standard: </w:t>
      </w:r>
      <w:r>
        <w:t>Monorepo dependency orchestration and script execution use pnpm exclusively (`pnpm install`, `pnpm dlx`, `pnpm --filter`).</w:t>
        <w:br/>
      </w:r>
      <w:r>
        <w:rPr>
          <w:b/>
        </w:rPr>
        <w:t xml:space="preserve">5. Containerized Deployment: </w:t>
      </w:r>
      <w:r>
        <w:t>Docker Compose orchestrates PostgreSQL 18, Redis 7, and Traefik reverse proxy with automated TLS termination.</w:t>
      </w:r>
    </w:p>
    <w:p>
      <w:pPr>
        <w:pStyle w:val="Heading1"/>
      </w:pPr>
      <w:r>
        <w:rPr>
          <w:color w:val="7C3AED"/>
        </w:rPr>
        <w:t>8. Conclusion &amp; Future Scope</w:t>
      </w:r>
    </w:p>
    <w:p>
      <w:r>
        <w:t>NovWrite establishes a new architectural benchmark for AI-assisted creative writing systems. By enforcing Canon Over AI Memory, combining relational prose structures with dynamic JSONB schemas, and leveraging event-sourcing state reconstruction, the platform guarantees deterministic lore consistency across massive multi-chapter narratives.</w:t>
      </w:r>
    </w:p>
    <w:p>
      <w:pPr>
        <w:pStyle w:val="Heading2"/>
      </w:pPr>
      <w:r>
        <w:t>8.1 Future Research &amp; Engineering Extensions</w:t>
      </w:r>
    </w:p>
    <w:p>
      <w:r>
        <w:t>- Real-Time Multi-Author Collaboration: Integration of Conflict-Free Replicated Data Types (CRDTs) over WebSockets for collaborative manuscript editing.</w:t>
        <w:br/>
        <w:t>- Graph Neural Network (GNN) Continuity Auditing: Employing relational graph embeddings to detect subtle thematic inconsistencies and implicit power scaling anomalies.</w:t>
        <w:br/>
        <w:t>- Local Offline LLM Sidecars: Enabling local on-device small language model (SLM) inference for privacy-conscious offline authoring on Desktop and Mobile.</w:t>
      </w:r>
    </w:p>
    <w:p>
      <w:pPr>
        <w:pStyle w:val="Heading2"/>
      </w:pPr>
      <w:r>
        <w:t>8.2 Key References &amp; Specifications</w:t>
      </w:r>
    </w:p>
    <w:p>
      <w:r>
        <w:t>1. PostgreSQL 18 pgvector Extension Documentation (https://github.com/pgvector/pgvector)</w:t>
        <w:br/>
        <w:t>2. Prisma ORM Architecture &amp; TypeScript Client Specification (https://www.prisma.io/docs)</w:t>
        <w:br/>
        <w:t>3. Svelte 5 Runes Specification &amp; SvelteKit 2 Guide (https://svelte.dev/docs/svelte/what-are-runes)</w:t>
        <w:br/>
        <w:t>4. shadcn-svelte Component Library (https://shadcn-svelte.com)</w:t>
        <w:br/>
        <w:t>5. React Native Reusables &amp; @rn-primitives (https://reactnativereusables.com)</w:t>
        <w:br/>
        <w:t>6. RFC 7807: Problem Details for HTTP APIs (IETF Standard)</w:t>
        <w:br/>
        <w:t>7. Redis 7.2 RESP3 Protocol &amp; Pub/Sub Caching Topology (https://redis.io/docs)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