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Baseline (v2.0 - Custom Blueprints, Formulas, Dedicated Routing &amp; Zero-Badge Standards)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 Two-Front isolated branching model ('world' vs 'novel' branches), a dedicated cross-domain Communication Layer,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Novel and World engineering are decoupled across two isolated git branches communicating exclusively through a dedicated contract bridge and unified diagnostic console.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its two-front branching and dedicated communication bridge,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Two-Front Branching &amp; Zero Direct Cross-Talk: </w:t>
      </w:r>
      <w:r>
        <w:t>Divide development into dedicated 'world' and 'novel' branches with an isolated, typed Communication Layer and single-page diagnostic hub.</w:t>
        <w:br/>
      </w:r>
      <w:r>
        <w:rPr>
          <w:b/>
        </w:rPr>
        <w:t xml:space="preserve">6.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7.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8.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pPr>
        <w:pStyle w:val="Heading2"/>
      </w:pPr>
      <w:r>
        <w:t>2.2 Two-Front Branching Strategy &amp; Dedicated Communication Gateway</w:t>
      </w:r>
    </w:p>
    <w:p>
      <w:r>
        <w:t>To achieve extreme modularity, eliminate cross-domain dependency spaghetti, and enable independent parallel engineering, NovWrite divides core engineering into two autonomous fronts on dedicated git branches:</w:t>
      </w:r>
    </w:p>
    <w:p>
      <w:r>
        <w:rPr>
          <w:b/>
        </w:rPr>
        <w:t xml:space="preserve">1. World Front (Git Branch: `world`): </w:t>
      </w:r>
      <w:r>
        <w:t>Owns universe entity models, dynamic schema systems, timeline event logs, invariant rule graphs, and the deterministic State Fold Engine. Has zero awareness of prose formatting, rich-text editor nodes, or manuscript hierarchies.</w:t>
        <w:br/>
      </w:r>
      <w:r>
        <w:rPr>
          <w:b/>
        </w:rPr>
        <w:t xml:space="preserve">2. Novel Front (Git Branch: `novel`): </w:t>
      </w:r>
      <w:r>
        <w:t>Owns Prose Studio, chapter trees, TipTap/Lexical editor engines, collaborative scene leases, and multi-author presence. Has zero awareness of raw entity ASTs, SQL join graphs, or internal rule execution loops.</w:t>
        <w:br/>
      </w:r>
      <w:r>
        <w:rPr>
          <w:b/>
        </w:rPr>
        <w:t xml:space="preserve">3. The Zero Direct Cross-Talk Invariant: </w:t>
      </w:r>
      <w:r>
        <w:t>Novel Space and World Space NEVER import each other's domain packages or query raw databases directly. All inter-space interactions pass through a strictly typed Communication Bridge (`@novwrite/bridge`) using standardized RPC and SSE contracts.</w:t>
        <w:br/>
      </w:r>
      <w:r>
        <w:rPr>
          <w:b/>
        </w:rPr>
        <w:t xml:space="preserve">4. Centralized Communication Diagnostics Hub (/dev/communication-hub): </w:t>
      </w:r>
      <w:r>
        <w:t>A single, unified console capturing all cross-space payloads, schema validation mismatches, network errors, and replay debugging in one page, ensuring communication anomalies are isolated and fixed instantly without cross-domain regression.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BRANCHING RULE: </w:t>
            </w:r>
            <w:r>
              <w:rPr>
                <w:rFonts w:ascii="Calibri" w:hAnsi="Calibri"/>
                <w:color w:val="1F2937"/>
                <w:sz w:val="20"/>
              </w:rPr>
              <w:t>Branching Governance: Both 'world' and 'novel' branches develop independently against locked mock fixtures in the Communication Layer. Neither branch merges directly into the other; all features rebase and merge into 'main' upon passing automated contract validation tests.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SECURITY GUARANTEE: </w:t>
            </w:r>
            <w:r>
              <w:rPr>
                <w:rFonts w:ascii="Calibri" w:hAnsi="Calibri"/>
                <w:color w:val="1F2937"/>
                <w:sz w:val="20"/>
              </w:rPr>
              <w:t>Platform Admin Security Rails: (1) Zero access to plaintext passwords (Argon2id/bcrypt); (2) Zero unconsented browsing of private user prose (requires time-bounded user support grant); (3) Zero raw credit card storage (PCI-DSS Stripe tokenization); (4) Append-only platform audit logs.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(/world/characters): Master-detail data grid with full CRUD and a dedicated Change History Table per entity.</w:t>
        <w:br/>
        <w:t xml:space="preserve">   - Power Systems &amp; Progression (/world/progression): Visual progression ladder builder, technique registries, and breakthrough prerequisites.</w:t>
        <w:br/>
        <w:t xml:space="preserve">   - Universe Schemas (/world/schema): Custom entity type architect and dynamic property definition editor.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Relationships (/world/relationships): Master 2D relationship matrix and node-link network visualizer.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pPr>
        <w:pStyle w:val="Heading2"/>
      </w:pPr>
      <w:r>
        <w:t>5.3 UI/UX Standards, Zero-Badge Policy &amp; Dedicated Page Routes</w:t>
      </w:r>
    </w:p>
    <w:p>
      <w:r>
        <w:t>To deliver a focused, professional authoring environment inspired by MongoDB Compass and Linear, NovWrite enforces strict visual constraints, dedicated page routing, and UI anti-pattern prevention:</w:t>
      </w:r>
    </w:p>
    <w:p>
      <w:r>
        <w:rPr>
          <w:b/>
        </w:rPr>
        <w:t xml:space="preserve">1. Prohibition of Excessive Gradients: </w:t>
      </w:r>
      <w:r>
        <w:t>Avoid multi-color marketing gradients, glassmorphism, and neon glow effects. Use solid, grounded surfaces (zinc-900 / slate-900) with crisp 1px borders.</w:t>
        <w:br/>
      </w:r>
      <w:r>
        <w:rPr>
          <w:b/>
        </w:rPr>
        <w:t xml:space="preserve">2. Zero-Badge Policy Across the UI: </w:t>
      </w:r>
      <w:r>
        <w:t>Badges, pill tags, and colored chip boxes are strictly prohibited across the frontend. Statuses and attributes are communicated via semantic icons with text dots, action buttons, accessible breadcrumbs, and slide-over side drawers.</w:t>
        <w:br/>
      </w:r>
      <w:r>
        <w:rPr>
          <w:b/>
        </w:rPr>
        <w:t xml:space="preserve">3. Dedicated 3-Tier Page-Based Routing: </w:t>
      </w:r>
      <w:r>
        <w:t>Every core domain (Entities, Blueprints/Schemas, Sub-Systems) is partitioned into a dedicated 3-tier route architecture: Default List view (/), Create view (/create), and Update/Inspector view (/[id]). Complex forms and formula editors are never crammed into popups or single-page tabs.</w:t>
        <w:br/>
      </w:r>
      <w:r>
        <w:rPr>
          <w:b/>
        </w:rPr>
        <w:t xml:space="preserve">4. Dropdown Component Standard: </w:t>
      </w:r>
      <w:r>
        <w:t>All dropdown selection menus must use the accessible Select primitive from shadcn-svelte ($lib/components/ui/select) or @rn-primitives on mobile, never native unstyled &lt;select&gt; tags.</w:t>
        <w:br/>
      </w:r>
      <w:r>
        <w:rPr>
          <w:b/>
        </w:rPr>
        <w:t xml:space="preserve">5. Isolation of Internal Communication Bridge: </w:t>
      </w:r>
      <w:r>
        <w:t>The @novwrite/bridge transport and diagnostic message hubs belong to backend machinery and are restricted to isolated developer tooling (/dev/communication-hub), keeping authoring navigation clean.</w:t>
      </w:r>
    </w:p>
    <w:p>
      <w:pPr>
        <w:pStyle w:val="Heading2"/>
      </w:pPr>
      <w:r>
        <w:t>5.4 First &amp; Second Class Blueprints with Sandboxed Mathematical Formulas</w:t>
      </w:r>
    </w:p>
    <w:p>
      <w:r>
        <w:t>NovWrite empowers authors with complete creative freedom to construct custom universe rules, dynamic identities, and mathematical formulas from scratch:</w:t>
      </w:r>
    </w:p>
    <w:p>
      <w:r>
        <w:rPr>
          <w:b/>
        </w:rPr>
        <w:t xml:space="preserve">• First-Class Blueprints (Primary Entity Archetypes): </w:t>
      </w:r>
      <w:r>
        <w:t>Instantiate tangible entities in the universe timeline (e.g. Cultivator Characters, Sacred Relics, Realms, Factions) with unique IDs, state snapshots, and mutation history.</w:t>
        <w:br/>
      </w:r>
      <w:r>
        <w:rPr>
          <w:b/>
        </w:rPr>
        <w:t xml:space="preserve">• Second-Class Blueprints (Sub-Blueprints &amp; Value Objects): </w:t>
      </w:r>
      <w:r>
        <w:t>Reusable embedded data structures and continuous scale gauges (e.g. Romantic Affection Scale, Cultivation Rank &amp; Mastery, Power Matrices) referenced as dynamic fields in 1st-Class blueprints.</w:t>
        <w:br/>
      </w:r>
      <w:r>
        <w:rPr>
          <w:b/>
        </w:rPr>
        <w:t xml:space="preserve">• Dynamic Enum Categories: </w:t>
      </w:r>
      <w:r>
        <w:t>Authors can define and manage dynamic option tags on enum fields (e.g., gender with ['Male', 'Female', 'Dual-Yin-Yang', 'Celestial']).</w:t>
        <w:br/>
      </w:r>
      <w:r>
        <w:rPr>
          <w:b/>
        </w:rPr>
        <w:t xml:space="preserve">• Sandboxed Mathematical &amp; Logical Formula Engine (formulaEngine.ts): </w:t>
      </w:r>
      <w:r>
        <w:t>A safe AST expression parser that evaluates complex mathematical formulas for computed properties (e.g. Total Combat Power = (cultivation.major_realm * cultivation.minor_realm) * special_Physique + attack * attack_technique_Mastery - defence * defence_technique_mastery) in real time as component fields are modified.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CAPABILITY: </w:t>
            </w:r>
            <w:r>
              <w:rPr>
                <w:rFonts w:ascii="Calibri" w:hAnsi="Calibri"/>
                <w:color w:val="1F2937"/>
                <w:sz w:val="20"/>
              </w:rPr>
              <w:t>Blueprint &amp; Formula Freedom: Authors define custom mathematical formulas, multi-tier power ladders, and relationship scales with zero hardcoded constraints. Formulas evaluate in real-time within live test sandboxes and entity creation/update forms with 100% test verification.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pPr>
        <w:pStyle w:val="Heading2"/>
      </w:pPr>
      <w:r>
        <w:t>7.1 Software Engineering Standards &amp; DevOps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2"/>
      </w:pPr>
      <w:r>
        <w:t>7.2 MVP Phased Implementation Plan &amp; Development Test Seeder</w:t>
      </w:r>
    </w:p>
    <w:p>
      <w:r>
        <w:t>To deliver a robust, functional MVP while adhering strictly to YAGNI principles (eliminating unnecessary pre-optimizations), development is structured into deliberate, independent phases across isolated branches: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/ Branch</w:t>
            </w:r>
          </w:p>
        </w:tc>
        <w:tc>
          <w:tcPr>
            <w:tcW w:type="dxa" w:w="273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Deliverable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Block Standard ID</w:t>
            </w:r>
          </w:p>
        </w:tc>
        <w:tc>
          <w:tcPr>
            <w:tcW w:type="dxa" w:w="230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Validation Criteria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Core Monorepo, DB Migrations &amp; @novwrite/bridge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BLOCK_CORE_INFRA_INIT_001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Clean Prisma migration &amp; Mock Bridge passing unit tests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0.4 (main)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Development-Only One-Click Test Seeder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BLOCK_DEV_SEEDER_ENGINE_001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POST /api/v1/dev/seed populates 'Chronicles of Aethelgard' in &lt;500ms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W (world)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Dynamic Schemas, Timeline &amp; State Fold Engine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BLOCK_WORLD_STATE_FOLD_001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4-step fold loop detects intentional test violation with RFC 7807 payload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N (novel)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Prose Studio, TipTap Editor &amp; Heartbeat Leases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BLOCK_NOVEL_SCENE_LEASE_001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Scene lease lock &amp; real-time continuity HUD pill rendered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I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Cross-Domain Integration &amp; End-to-End Demo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BLOCK_INTEGRATION_DEMO_001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One-click seeder -&gt; contradiction detection -&gt; Lead Author override flow verified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DEV EXPERIENCE: </w:t>
            </w:r>
            <w:r>
              <w:rPr>
                <w:rFonts w:ascii="Calibri" w:hAnsi="Calibri"/>
                <w:color w:val="1F2937"/>
                <w:sz w:val="20"/>
              </w:rPr>
              <w:t>Development-Only Test Data One-Click Filler: To eliminate manual testing overhead, a dedicated development seeder provisions an interconnected fantasy universe ('Chronicles of Aethelgard') containing 3 characters, 2 locations, 5 historical timeline events, 2 invariant rules, 3 manuscript scenes, and deliberate rule violations for instant end-to-end verification.</w:t>
            </w:r>
          </w:p>
        </w:tc>
      </w:tr>
    </w:tbl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