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1. Scope and Overview</w:t>
      </w:r>
    </w:p>
    <w:p>
      <w:r>
        <w:t>This multi-page DOCX specification outlines thermal insulation standards.</w:t>
      </w:r>
    </w:p>
    <w:p>
      <w:r>
        <w:br w:type="page"/>
      </w:r>
    </w:p>
    <w:p>
      <w:pPr>
        <w:pStyle w:val="Heading1"/>
      </w:pPr>
      <w:r>
        <w:t>Section 2. Technical Requirements</w:t>
      </w:r>
    </w:p>
    <w:p>
      <w:r>
        <w:t>Thermal conductivity must be less than 0.035 W/mK.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r>
        <w:br w:type="page"/>
      </w:r>
    </w:p>
    <w:p>
      <w:pPr>
        <w:pStyle w:val="Heading1"/>
      </w:pPr>
      <w:r>
        <w:t>Section 3. Verification Testing</w:t>
      </w:r>
    </w:p>
    <w:p>
      <w:r>
        <w:t>Perform ASTM C177 guarded hot plate thermal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