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Real-Time Transaction Monitoring and Fraud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Success Response:</w:t>
      </w:r>
      <w:r w:rsidDel="00000000" w:rsidR="00000000" w:rsidRPr="00000000">
        <w:rPr>
          <w:rtl w:val="0"/>
        </w:rPr>
        <w:t xml:space="preserve"> POST /transactions/process</w:t>
      </w: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Error Response: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GET /admin/flagged-transactions: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Loan Eligibility Calculation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POST /loans/eligibility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19738" cy="322391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223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06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GET /admin/loan-statistics: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35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