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9A7B1E"/>
          <w:sz w:val="22"/>
          <w:szCs w:val="22"/>
        </w:rPr>
        <w:t xml:space="preserve">PROJECT 2</w:t>
      </w:r>
    </w:p>
    <w:p>
      <w:pPr>
        <w:spacing w:after="200" w:before="120"/>
        <w:jc w:val="center"/>
      </w:pPr>
      <w:r>
        <w:rPr>
          <w:b/>
          <w:bCs/>
          <w:color w:val="1F3A5F"/>
          <w:sz w:val="44"/>
          <w:szCs w:val="44"/>
        </w:rPr>
        <w:t xml:space="preserve">Credit Scoring &amp; Risk Analysis in Lending</w:t>
      </w:r>
    </w:p>
    <w:p>
      <w:pPr>
        <w:spacing w:after="400"/>
        <w:jc w:val="center"/>
      </w:pPr>
      <w:r>
        <w:rPr>
          <w:i/>
          <w:iCs/>
          <w:color w:val="222222"/>
          <w:sz w:val="26"/>
          <w:szCs w:val="26"/>
        </w:rPr>
        <w:t xml:space="preserve">Complete Solution — ETL Pipeline, SQL Analysis &amp; BI Dashboard</w:t>
      </w:r>
    </w:p>
    <w:p>
      <w:pPr>
        <w:spacing w:after="40"/>
        <w:jc w:val="center"/>
      </w:pPr>
      <w:r>
        <w:rPr>
          <w:color w:val="666666"/>
          <w:sz w:val="21"/>
          <w:szCs w:val="21"/>
        </w:rPr>
        <w:t xml:space="preserve">Dataset: 20,000 synthetic loan applications · 7 UK regions · Apr 2023 – Apr 2025</w:t>
      </w:r>
    </w:p>
    <w:p>
      <w:pPr>
        <w:spacing w:after="1200"/>
        <w:jc w:val="center"/>
      </w:pPr>
      <w:r>
        <w:rPr>
          <w:color w:val="666666"/>
          <w:sz w:val="21"/>
          <w:szCs w:val="21"/>
        </w:rPr>
        <w:t xml:space="preserve">Prepared September 2026</w:t>
      </w:r>
    </w:p>
    <w:p>
      <w:r>
        <w:br w:type="page"/>
      </w:r>
    </w:p>
    <w:p>
      <w:pPr>
        <w:pStyle w:val="Heading1"/>
        <w:pBdr>
          <w:bottom w:val="single" w:color="1F3A5F" w:sz="6" w:space="4"/>
        </w:pBdr>
        <w:spacing w:after="160" w:before="320"/>
      </w:pPr>
      <w:r>
        <w:rPr>
          <w:b/>
          <w:bCs/>
          <w:color w:val="1F3A5F"/>
          <w:sz w:val="30"/>
          <w:szCs w:val="30"/>
        </w:rPr>
        <w:t xml:space="preserve">1. Objective</w:t>
      </w:r>
    </w:p>
    <w:p>
      <w:pPr>
        <w:spacing w:after="160" w:line="276"/>
      </w:pPr>
      <w:r>
        <w:rPr>
          <w:color w:val="222222"/>
          <w:sz w:val="21"/>
          <w:szCs w:val="21"/>
        </w:rPr>
        <w:t xml:space="preserve">This project uses a synthetic loan-application dataset of 20,000 records to analyse risk factors, credit score behaviour, and default likelihood across a simulated lending portfolio. The solution is delivered in four stages that mirror a real-world lending analytics workflow: an automated Python ETL pipeline (Phase 0), exploratory data analysis (Phase 1), SQL-based risk and approval analysis (Phase 2), and an interactive BI dashboard covering the KPIs and visuals a credit risk team would monitor day to day (Phase 3).</w:t>
      </w:r>
    </w:p>
    <w:p>
      <w:pPr>
        <w:pStyle w:val="Heading2"/>
        <w:spacing w:after="120" w:before="260"/>
      </w:pPr>
      <w:r>
        <w:rPr>
          <w:b/>
          <w:bCs/>
          <w:color w:val="1F3A5F"/>
          <w:sz w:val="24"/>
          <w:szCs w:val="24"/>
        </w:rPr>
        <w:t xml:space="preserve">Deliverables in this package</w:t>
      </w:r>
    </w:p>
    <w:tbl>
      <w:tblPr>
        <w:tblW w:type="dxa" w:w="95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900"/>
      </w:tblGrid>
      <w:tr>
        <w:trPr>
          <w:tblHeader/>
        </w:trPr>
        <w:tc>
          <w:tcPr>
            <w:tcW w:type="dxa" w:w="2600"/>
            <w:shd w:fill="1F3A5F" w:val="clear"/>
            <w:tcMar>
              <w:top w:type="dxa" w:w="80"/>
              <w:left w:type="dxa" w:w="120"/>
              <w:bottom w:type="dxa" w:w="80"/>
              <w:right w:type="dxa" w:w="120"/>
            </w:tcMar>
          </w:tcPr>
          <w:p>
            <w:r>
              <w:rPr>
                <w:b/>
                <w:bCs/>
                <w:color w:val="FFFFFF"/>
                <w:sz w:val="19"/>
                <w:szCs w:val="19"/>
              </w:rPr>
              <w:t xml:space="preserve">File</w:t>
            </w:r>
          </w:p>
        </w:tc>
        <w:tc>
          <w:tcPr>
            <w:tcW w:type="dxa" w:w="6900"/>
            <w:shd w:fill="1F3A5F" w:val="clear"/>
            <w:tcMar>
              <w:top w:type="dxa" w:w="80"/>
              <w:left w:type="dxa" w:w="120"/>
              <w:bottom w:type="dxa" w:w="80"/>
              <w:right w:type="dxa" w:w="120"/>
            </w:tcMar>
          </w:tcPr>
          <w:p>
            <w:r>
              <w:rPr>
                <w:b/>
                <w:bCs/>
                <w:color w:val="FFFFFF"/>
                <w:sz w:val="19"/>
                <w:szCs w:val="19"/>
              </w:rPr>
              <w:t xml:space="preserve">Contents</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credit_pipeline.py</w:t>
            </w:r>
          </w:p>
        </w:tc>
        <w:tc>
          <w:tcPr>
            <w:tcW w:type="dxa" w:w="6900"/>
            <w:shd w:fill="FFFFFF" w:val="clear"/>
            <w:tcMar>
              <w:top w:type="dxa" w:w="80"/>
              <w:left w:type="dxa" w:w="120"/>
              <w:bottom w:type="dxa" w:w="80"/>
              <w:right w:type="dxa" w:w="120"/>
            </w:tcMar>
          </w:tcPr>
          <w:p>
            <w:r>
              <w:rPr>
                <w:b w:val="false"/>
                <w:bCs w:val="false"/>
                <w:color w:val="222222"/>
                <w:sz w:val="19"/>
                <w:szCs w:val="19"/>
              </w:rPr>
              <w:t xml:space="preserve">Phase 0 ETL pipeline — extract, transform, validate, save functions (runnable end to end)</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cleaned_credit_data.csv</w:t>
            </w:r>
          </w:p>
        </w:tc>
        <w:tc>
          <w:tcPr>
            <w:tcW w:type="dxa" w:w="6900"/>
            <w:shd w:fill="FFFFFF" w:val="clear"/>
            <w:tcMar>
              <w:top w:type="dxa" w:w="80"/>
              <w:left w:type="dxa" w:w="120"/>
              <w:bottom w:type="dxa" w:w="80"/>
              <w:right w:type="dxa" w:w="120"/>
            </w:tcMar>
          </w:tcPr>
          <w:p>
            <w:r>
              <w:rPr>
                <w:b w:val="false"/>
                <w:bCs w:val="false"/>
                <w:color w:val="222222"/>
                <w:sz w:val="19"/>
                <w:szCs w:val="19"/>
              </w:rPr>
              <w:t xml:space="preserve">Pipeline output: 20,000 validated rows plus 5 engineered columns, ready for SQL / Tableau / Power BI</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credit_analysis.db</w:t>
            </w:r>
          </w:p>
        </w:tc>
        <w:tc>
          <w:tcPr>
            <w:tcW w:type="dxa" w:w="6900"/>
            <w:shd w:fill="FFFFFF" w:val="clear"/>
            <w:tcMar>
              <w:top w:type="dxa" w:w="80"/>
              <w:left w:type="dxa" w:w="120"/>
              <w:bottom w:type="dxa" w:w="80"/>
              <w:right w:type="dxa" w:w="120"/>
            </w:tcMar>
          </w:tcPr>
          <w:p>
            <w:r>
              <w:rPr>
                <w:b w:val="false"/>
                <w:bCs w:val="false"/>
                <w:color w:val="222222"/>
                <w:sz w:val="19"/>
                <w:szCs w:val="19"/>
              </w:rPr>
              <w:t xml:space="preserve">SQLite database loaded with the cleaned table, for Phase 2 SQL work</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phase2_sql_queries.sql</w:t>
            </w:r>
          </w:p>
        </w:tc>
        <w:tc>
          <w:tcPr>
            <w:tcW w:type="dxa" w:w="6900"/>
            <w:shd w:fill="FFFFFF" w:val="clear"/>
            <w:tcMar>
              <w:top w:type="dxa" w:w="80"/>
              <w:left w:type="dxa" w:w="120"/>
              <w:bottom w:type="dxa" w:w="80"/>
              <w:right w:type="dxa" w:w="120"/>
            </w:tcMar>
          </w:tcPr>
          <w:p>
            <w:r>
              <w:rPr>
                <w:b w:val="false"/>
                <w:bCs w:val="false"/>
                <w:color w:val="222222"/>
                <w:sz w:val="19"/>
                <w:szCs w:val="19"/>
              </w:rPr>
              <w:t xml:space="preserve">The five required SQL analyses as a standalone script</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dashboard.html</w:t>
            </w:r>
          </w:p>
        </w:tc>
        <w:tc>
          <w:tcPr>
            <w:tcW w:type="dxa" w:w="6900"/>
            <w:shd w:fill="FFFFFF" w:val="clear"/>
            <w:tcMar>
              <w:top w:type="dxa" w:w="80"/>
              <w:left w:type="dxa" w:w="120"/>
              <w:bottom w:type="dxa" w:w="80"/>
              <w:right w:type="dxa" w:w="120"/>
            </w:tcMar>
          </w:tcPr>
          <w:p>
            <w:r>
              <w:rPr>
                <w:b w:val="false"/>
                <w:bCs w:val="false"/>
                <w:color w:val="222222"/>
                <w:sz w:val="19"/>
                <w:szCs w:val="19"/>
              </w:rPr>
              <w:t xml:space="preserve">Phase 3 interactive dashboard — KPI cards, scatter, bar, pie charts with live Region / Risk Tier / Employment-years filters</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This report (.docx)</w:t>
            </w:r>
          </w:p>
        </w:tc>
        <w:tc>
          <w:tcPr>
            <w:tcW w:type="dxa" w:w="6900"/>
            <w:shd w:fill="FFFFFF" w:val="clear"/>
            <w:tcMar>
              <w:top w:type="dxa" w:w="80"/>
              <w:left w:type="dxa" w:w="120"/>
              <w:bottom w:type="dxa" w:w="80"/>
              <w:right w:type="dxa" w:w="120"/>
            </w:tcMar>
          </w:tcPr>
          <w:p>
            <w:r>
              <w:rPr>
                <w:b w:val="false"/>
                <w:bCs w:val="false"/>
                <w:color w:val="222222"/>
                <w:sz w:val="19"/>
                <w:szCs w:val="19"/>
              </w:rPr>
              <w:t xml:space="preserve">Full write-up: methodology, code walkthrough, results, and insights</w:t>
            </w:r>
          </w:p>
        </w:tc>
      </w:tr>
    </w:tbl>
    <w:p>
      <w:r>
        <w:br w:type="page"/>
      </w:r>
    </w:p>
    <w:p>
      <w:pPr>
        <w:pStyle w:val="Heading1"/>
        <w:pBdr>
          <w:bottom w:val="single" w:color="1F3A5F" w:sz="6" w:space="4"/>
        </w:pBdr>
        <w:spacing w:after="160" w:before="320"/>
      </w:pPr>
      <w:r>
        <w:rPr>
          <w:b/>
          <w:bCs/>
          <w:color w:val="1F3A5F"/>
          <w:sz w:val="30"/>
          <w:szCs w:val="30"/>
        </w:rPr>
        <w:t xml:space="preserve">2. Phase 0 — Python Data Pipeline (ETL)</w:t>
      </w:r>
    </w:p>
    <w:p>
      <w:pPr>
        <w:spacing w:after="160" w:line="276"/>
      </w:pPr>
      <w:r>
        <w:rPr>
          <w:color w:val="222222"/>
          <w:sz w:val="21"/>
          <w:szCs w:val="21"/>
        </w:rPr>
        <w:t xml:space="preserve">The pipeline follows a standard four-stage ETL pattern so the same cleaned dataset can feed SQL analysis and the BI dashboard without repeating logic in either place.</w:t>
      </w:r>
    </w:p>
    <w:p>
      <w:pPr>
        <w:pStyle w:val="Heading2"/>
        <w:spacing w:after="120" w:before="260"/>
      </w:pPr>
      <w:r>
        <w:rPr>
          <w:b/>
          <w:bCs/>
          <w:color w:val="1F3A5F"/>
          <w:sz w:val="24"/>
          <w:szCs w:val="24"/>
        </w:rPr>
        <w:t xml:space="preserve">2.1 Pipeline stages</w:t>
      </w:r>
    </w:p>
    <w:tbl>
      <w:tblPr>
        <w:tblW w:type="dxa" w:w="95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800"/>
        <w:gridCol w:w="4100"/>
      </w:tblGrid>
      <w:tr>
        <w:trPr>
          <w:tblHeader/>
        </w:trPr>
        <w:tc>
          <w:tcPr>
            <w:tcW w:type="dxa" w:w="2600"/>
            <w:shd w:fill="1F3A5F" w:val="clear"/>
            <w:tcMar>
              <w:top w:type="dxa" w:w="80"/>
              <w:left w:type="dxa" w:w="120"/>
              <w:bottom w:type="dxa" w:w="80"/>
              <w:right w:type="dxa" w:w="120"/>
            </w:tcMar>
          </w:tcPr>
          <w:p>
            <w:r>
              <w:rPr>
                <w:b/>
                <w:bCs/>
                <w:color w:val="FFFFFF"/>
                <w:sz w:val="19"/>
                <w:szCs w:val="19"/>
              </w:rPr>
              <w:t xml:space="preserve">Function</w:t>
            </w:r>
          </w:p>
        </w:tc>
        <w:tc>
          <w:tcPr>
            <w:tcW w:type="dxa" w:w="2800"/>
            <w:shd w:fill="1F3A5F" w:val="clear"/>
            <w:tcMar>
              <w:top w:type="dxa" w:w="80"/>
              <w:left w:type="dxa" w:w="120"/>
              <w:bottom w:type="dxa" w:w="80"/>
              <w:right w:type="dxa" w:w="120"/>
            </w:tcMar>
          </w:tcPr>
          <w:p>
            <w:r>
              <w:rPr>
                <w:b/>
                <w:bCs/>
                <w:color w:val="FFFFFF"/>
                <w:sz w:val="19"/>
                <w:szCs w:val="19"/>
              </w:rPr>
              <w:t xml:space="preserve">Purpose</w:t>
            </w:r>
          </w:p>
        </w:tc>
        <w:tc>
          <w:tcPr>
            <w:tcW w:type="dxa" w:w="4100"/>
            <w:shd w:fill="1F3A5F" w:val="clear"/>
            <w:tcMar>
              <w:top w:type="dxa" w:w="80"/>
              <w:left w:type="dxa" w:w="120"/>
              <w:bottom w:type="dxa" w:w="80"/>
              <w:right w:type="dxa" w:w="120"/>
            </w:tcMar>
          </w:tcPr>
          <w:p>
            <w:r>
              <w:rPr>
                <w:b/>
                <w:bCs/>
                <w:color w:val="FFFFFF"/>
                <w:sz w:val="19"/>
                <w:szCs w:val="19"/>
              </w:rPr>
              <w:t xml:space="preserve">Key logic</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extract_credit_data()</w:t>
            </w:r>
          </w:p>
        </w:tc>
        <w:tc>
          <w:tcPr>
            <w:tcW w:type="dxa" w:w="2800"/>
            <w:shd w:fill="FFFFFF" w:val="clear"/>
            <w:tcMar>
              <w:top w:type="dxa" w:w="80"/>
              <w:left w:type="dxa" w:w="120"/>
              <w:bottom w:type="dxa" w:w="80"/>
              <w:right w:type="dxa" w:w="120"/>
            </w:tcMar>
          </w:tcPr>
          <w:p>
            <w:r>
              <w:rPr>
                <w:b w:val="false"/>
                <w:bCs w:val="false"/>
                <w:color w:val="222222"/>
                <w:sz w:val="19"/>
                <w:szCs w:val="19"/>
              </w:rPr>
              <w:t xml:space="preserve">Load raw applicant data</w:t>
            </w:r>
          </w:p>
        </w:tc>
        <w:tc>
          <w:tcPr>
            <w:tcW w:type="dxa" w:w="4100"/>
            <w:shd w:fill="FFFFFF" w:val="clear"/>
            <w:tcMar>
              <w:top w:type="dxa" w:w="80"/>
              <w:left w:type="dxa" w:w="120"/>
              <w:bottom w:type="dxa" w:w="80"/>
              <w:right w:type="dxa" w:w="120"/>
            </w:tcMar>
          </w:tcPr>
          <w:p>
            <w:r>
              <w:rPr>
                <w:b w:val="false"/>
                <w:bCs w:val="false"/>
                <w:color w:val="222222"/>
                <w:sz w:val="19"/>
                <w:szCs w:val="19"/>
              </w:rPr>
              <w:t xml:space="preserve">Reads the source CSV (20,000 rows, 20 columns) into a DataFrame and logs row/column counts</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transform_credit_data(df)</w:t>
            </w:r>
          </w:p>
        </w:tc>
        <w:tc>
          <w:tcPr>
            <w:tcW w:type="dxa" w:w="2800"/>
            <w:shd w:fill="FFFFFF" w:val="clear"/>
            <w:tcMar>
              <w:top w:type="dxa" w:w="80"/>
              <w:left w:type="dxa" w:w="120"/>
              <w:bottom w:type="dxa" w:w="80"/>
              <w:right w:type="dxa" w:w="120"/>
            </w:tcMar>
          </w:tcPr>
          <w:p>
            <w:r>
              <w:rPr>
                <w:b w:val="false"/>
                <w:bCs w:val="false"/>
                <w:color w:val="222222"/>
                <w:sz w:val="19"/>
                <w:szCs w:val="19"/>
              </w:rPr>
              <w:t xml:space="preserve">Fix types, engineer features</w:t>
            </w:r>
          </w:p>
        </w:tc>
        <w:tc>
          <w:tcPr>
            <w:tcW w:type="dxa" w:w="4100"/>
            <w:shd w:fill="FFFFFF" w:val="clear"/>
            <w:tcMar>
              <w:top w:type="dxa" w:w="80"/>
              <w:left w:type="dxa" w:w="120"/>
              <w:bottom w:type="dxa" w:w="80"/>
              <w:right w:type="dxa" w:w="120"/>
            </w:tcMar>
          </w:tcPr>
          <w:p>
            <w:r>
              <w:rPr>
                <w:b w:val="false"/>
                <w:bCs w:val="false"/>
                <w:color w:val="222222"/>
                <w:sz w:val="19"/>
                <w:szCs w:val="19"/>
              </w:rPr>
              <w:t xml:space="preserve">Casts dates and categoricals; adds debt_to_income_ratio, credit_risk_tier, income_group, approved_flag, late_payment_band</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validate_credit_data(df)</w:t>
            </w:r>
          </w:p>
        </w:tc>
        <w:tc>
          <w:tcPr>
            <w:tcW w:type="dxa" w:w="2800"/>
            <w:shd w:fill="FFFFFF" w:val="clear"/>
            <w:tcMar>
              <w:top w:type="dxa" w:w="80"/>
              <w:left w:type="dxa" w:w="120"/>
              <w:bottom w:type="dxa" w:w="80"/>
              <w:right w:type="dxa" w:w="120"/>
            </w:tcMar>
          </w:tcPr>
          <w:p>
            <w:r>
              <w:rPr>
                <w:b w:val="false"/>
                <w:bCs w:val="false"/>
                <w:color w:val="222222"/>
                <w:sz w:val="19"/>
                <w:szCs w:val="19"/>
              </w:rPr>
              <w:t xml:space="preserve">Enforce data-quality rules</w:t>
            </w:r>
          </w:p>
        </w:tc>
        <w:tc>
          <w:tcPr>
            <w:tcW w:type="dxa" w:w="4100"/>
            <w:shd w:fill="FFFFFF" w:val="clear"/>
            <w:tcMar>
              <w:top w:type="dxa" w:w="80"/>
              <w:left w:type="dxa" w:w="120"/>
              <w:bottom w:type="dxa" w:w="80"/>
              <w:right w:type="dxa" w:w="120"/>
            </w:tcMar>
          </w:tcPr>
          <w:p>
            <w:r>
              <w:rPr>
                <w:b w:val="false"/>
                <w:bCs w:val="false"/>
                <w:color w:val="222222"/>
                <w:sz w:val="19"/>
                <w:szCs w:val="19"/>
              </w:rPr>
              <w:t xml:space="preserve">Flags/drops rows with invalid income, credit score, age, loan amount, or duplicate applicant_id</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save_credit_data(df)</w:t>
            </w:r>
          </w:p>
        </w:tc>
        <w:tc>
          <w:tcPr>
            <w:tcW w:type="dxa" w:w="2800"/>
            <w:shd w:fill="FFFFFF" w:val="clear"/>
            <w:tcMar>
              <w:top w:type="dxa" w:w="80"/>
              <w:left w:type="dxa" w:w="120"/>
              <w:bottom w:type="dxa" w:w="80"/>
              <w:right w:type="dxa" w:w="120"/>
            </w:tcMar>
          </w:tcPr>
          <w:p>
            <w:r>
              <w:rPr>
                <w:b w:val="false"/>
                <w:bCs w:val="false"/>
                <w:color w:val="222222"/>
                <w:sz w:val="19"/>
                <w:szCs w:val="19"/>
              </w:rPr>
              <w:t xml:space="preserve">Persist cleaned data</w:t>
            </w:r>
          </w:p>
        </w:tc>
        <w:tc>
          <w:tcPr>
            <w:tcW w:type="dxa" w:w="4100"/>
            <w:shd w:fill="FFFFFF" w:val="clear"/>
            <w:tcMar>
              <w:top w:type="dxa" w:w="80"/>
              <w:left w:type="dxa" w:w="120"/>
              <w:bottom w:type="dxa" w:w="80"/>
              <w:right w:type="dxa" w:w="120"/>
            </w:tcMar>
          </w:tcPr>
          <w:p>
            <w:r>
              <w:rPr>
                <w:b w:val="false"/>
                <w:bCs w:val="false"/>
                <w:color w:val="222222"/>
                <w:sz w:val="19"/>
                <w:szCs w:val="19"/>
              </w:rPr>
              <w:t xml:space="preserve">Writes cleaned_credit_data.csv (for BI tools) and credit_analysis.db (SQLite, indexed, for SQL work)</w:t>
            </w:r>
          </w:p>
        </w:tc>
      </w:tr>
    </w:tbl>
    <w:p>
      <w:pPr>
        <w:spacing w:after="120"/>
      </w:pPr>
    </w:p>
    <w:p>
      <w:pPr>
        <w:pStyle w:val="Heading2"/>
        <w:spacing w:after="120" w:before="260"/>
      </w:pPr>
      <w:r>
        <w:rPr>
          <w:b/>
          <w:bCs/>
          <w:color w:val="1F3A5F"/>
          <w:sz w:val="24"/>
          <w:szCs w:val="24"/>
        </w:rPr>
        <w:t xml:space="preserve">2.2 Engineered features</w:t>
      </w:r>
    </w:p>
    <w:p>
      <w:pPr>
        <w:spacing w:after="160" w:line="276"/>
      </w:pPr>
      <w:r>
        <w:rPr>
          <w:color w:val="222222"/>
          <w:sz w:val="21"/>
          <w:szCs w:val="21"/>
        </w:rPr>
        <w:t xml:space="preserve">The raw dataset has no missing values, so the transform stage focuses on adding the analysis features the brief calls for, plus a few that make the SQL and dashboard work cleaner:</w:t>
      </w:r>
    </w:p>
    <w:tbl>
      <w:tblPr>
        <w:tblW w:type="dxa" w:w="95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4200"/>
        <w:gridCol w:w="3100"/>
      </w:tblGrid>
      <w:tr>
        <w:trPr>
          <w:tblHeader/>
        </w:trPr>
        <w:tc>
          <w:tcPr>
            <w:tcW w:type="dxa" w:w="2200"/>
            <w:shd w:fill="1F3A5F" w:val="clear"/>
            <w:tcMar>
              <w:top w:type="dxa" w:w="80"/>
              <w:left w:type="dxa" w:w="120"/>
              <w:bottom w:type="dxa" w:w="80"/>
              <w:right w:type="dxa" w:w="120"/>
            </w:tcMar>
          </w:tcPr>
          <w:p>
            <w:r>
              <w:rPr>
                <w:b/>
                <w:bCs/>
                <w:color w:val="FFFFFF"/>
                <w:sz w:val="19"/>
                <w:szCs w:val="19"/>
              </w:rPr>
              <w:t xml:space="preserve">Column</w:t>
            </w:r>
          </w:p>
        </w:tc>
        <w:tc>
          <w:tcPr>
            <w:tcW w:type="dxa" w:w="4200"/>
            <w:shd w:fill="1F3A5F" w:val="clear"/>
            <w:tcMar>
              <w:top w:type="dxa" w:w="80"/>
              <w:left w:type="dxa" w:w="120"/>
              <w:bottom w:type="dxa" w:w="80"/>
              <w:right w:type="dxa" w:w="120"/>
            </w:tcMar>
          </w:tcPr>
          <w:p>
            <w:r>
              <w:rPr>
                <w:b/>
                <w:bCs/>
                <w:color w:val="FFFFFF"/>
                <w:sz w:val="19"/>
                <w:szCs w:val="19"/>
              </w:rPr>
              <w:t xml:space="preserve">Definition</w:t>
            </w:r>
          </w:p>
        </w:tc>
        <w:tc>
          <w:tcPr>
            <w:tcW w:type="dxa" w:w="3100"/>
            <w:shd w:fill="1F3A5F" w:val="clear"/>
            <w:tcMar>
              <w:top w:type="dxa" w:w="80"/>
              <w:left w:type="dxa" w:w="120"/>
              <w:bottom w:type="dxa" w:w="80"/>
              <w:right w:type="dxa" w:w="120"/>
            </w:tcMar>
          </w:tcPr>
          <w:p>
            <w:r>
              <w:rPr>
                <w:b/>
                <w:bCs/>
                <w:color w:val="FFFFFF"/>
                <w:sz w:val="19"/>
                <w:szCs w:val="19"/>
              </w:rPr>
              <w:t xml:space="preserve">Note</w:t>
            </w:r>
          </w:p>
        </w:tc>
      </w:tr>
      <w:tr>
        <w:tc>
          <w:tcPr>
            <w:tcW w:type="dxa" w:w="2200"/>
            <w:shd w:fill="FFFFFF" w:val="clear"/>
            <w:tcMar>
              <w:top w:type="dxa" w:w="80"/>
              <w:left w:type="dxa" w:w="120"/>
              <w:bottom w:type="dxa" w:w="80"/>
              <w:right w:type="dxa" w:w="120"/>
            </w:tcMar>
          </w:tcPr>
          <w:p>
            <w:r>
              <w:rPr>
                <w:b w:val="false"/>
                <w:bCs w:val="false"/>
                <w:color w:val="222222"/>
                <w:sz w:val="19"/>
                <w:szCs w:val="19"/>
              </w:rPr>
              <w:t xml:space="preserve">debt_to_income_ratio</w:t>
            </w:r>
          </w:p>
        </w:tc>
        <w:tc>
          <w:tcPr>
            <w:tcW w:type="dxa" w:w="4200"/>
            <w:shd w:fill="FFFFFF" w:val="clear"/>
            <w:tcMar>
              <w:top w:type="dxa" w:w="80"/>
              <w:left w:type="dxa" w:w="120"/>
              <w:bottom w:type="dxa" w:w="80"/>
              <w:right w:type="dxa" w:w="120"/>
            </w:tcMar>
          </w:tcPr>
          <w:p>
            <w:r>
              <w:rPr>
                <w:b w:val="false"/>
                <w:bCs w:val="false"/>
                <w:color w:val="222222"/>
                <w:sz w:val="19"/>
                <w:szCs w:val="19"/>
              </w:rPr>
              <w:t xml:space="preserve">monthly_expense ÷ (annual_income / 12)</w:t>
            </w:r>
          </w:p>
        </w:tc>
        <w:tc>
          <w:tcPr>
            <w:tcW w:type="dxa" w:w="3100"/>
            <w:shd w:fill="FFFFFF" w:val="clear"/>
            <w:tcMar>
              <w:top w:type="dxa" w:w="80"/>
              <w:left w:type="dxa" w:w="120"/>
              <w:bottom w:type="dxa" w:w="80"/>
              <w:right w:type="dxa" w:w="120"/>
            </w:tcMar>
          </w:tcPr>
          <w:p>
            <w:r>
              <w:rPr>
                <w:b w:val="false"/>
                <w:bCs w:val="false"/>
                <w:color w:val="222222"/>
                <w:sz w:val="19"/>
                <w:szCs w:val="19"/>
              </w:rPr>
              <w:t xml:space="preserve">Assumption: the dataset has no explicit monthly-debt-payment field, so monthly_expense is used as the debt-service proxy</w:t>
            </w:r>
          </w:p>
        </w:tc>
      </w:tr>
      <w:tr>
        <w:tc>
          <w:tcPr>
            <w:tcW w:type="dxa" w:w="2200"/>
            <w:shd w:fill="FFFFFF" w:val="clear"/>
            <w:tcMar>
              <w:top w:type="dxa" w:w="80"/>
              <w:left w:type="dxa" w:w="120"/>
              <w:bottom w:type="dxa" w:w="80"/>
              <w:right w:type="dxa" w:w="120"/>
            </w:tcMar>
          </w:tcPr>
          <w:p>
            <w:r>
              <w:rPr>
                <w:b w:val="false"/>
                <w:bCs w:val="false"/>
                <w:color w:val="222222"/>
                <w:sz w:val="19"/>
                <w:szCs w:val="19"/>
              </w:rPr>
              <w:t xml:space="preserve">credit_risk_tier</w:t>
            </w:r>
          </w:p>
        </w:tc>
        <w:tc>
          <w:tcPr>
            <w:tcW w:type="dxa" w:w="4200"/>
            <w:shd w:fill="FFFFFF" w:val="clear"/>
            <w:tcMar>
              <w:top w:type="dxa" w:w="80"/>
              <w:left w:type="dxa" w:w="120"/>
              <w:bottom w:type="dxa" w:w="80"/>
              <w:right w:type="dxa" w:w="120"/>
            </w:tcMar>
          </w:tcPr>
          <w:p>
            <w:r>
              <w:rPr>
                <w:b w:val="false"/>
                <w:bCs w:val="false"/>
                <w:color w:val="222222"/>
                <w:sz w:val="19"/>
                <w:szCs w:val="19"/>
              </w:rPr>
              <w:t xml:space="preserve">300–579 Poor · 580–669 Fair · 670–739 Good · 740–799 Very Good · 800–850 Exceptional</w:t>
            </w:r>
          </w:p>
        </w:tc>
        <w:tc>
          <w:tcPr>
            <w:tcW w:type="dxa" w:w="3100"/>
            <w:shd w:fill="FFFFFF" w:val="clear"/>
            <w:tcMar>
              <w:top w:type="dxa" w:w="80"/>
              <w:left w:type="dxa" w:w="120"/>
              <w:bottom w:type="dxa" w:w="80"/>
              <w:right w:type="dxa" w:w="120"/>
            </w:tcMar>
          </w:tcPr>
          <w:p>
            <w:r>
              <w:rPr>
                <w:b w:val="false"/>
                <w:bCs w:val="false"/>
                <w:color w:val="222222"/>
                <w:sz w:val="19"/>
                <w:szCs w:val="19"/>
              </w:rPr>
              <w:t xml:space="preserve">Standard FICO-style banding</w:t>
            </w:r>
          </w:p>
        </w:tc>
      </w:tr>
      <w:tr>
        <w:tc>
          <w:tcPr>
            <w:tcW w:type="dxa" w:w="2200"/>
            <w:shd w:fill="FFFFFF" w:val="clear"/>
            <w:tcMar>
              <w:top w:type="dxa" w:w="80"/>
              <w:left w:type="dxa" w:w="120"/>
              <w:bottom w:type="dxa" w:w="80"/>
              <w:right w:type="dxa" w:w="120"/>
            </w:tcMar>
          </w:tcPr>
          <w:p>
            <w:r>
              <w:rPr>
                <w:b w:val="false"/>
                <w:bCs w:val="false"/>
                <w:color w:val="222222"/>
                <w:sz w:val="19"/>
                <w:szCs w:val="19"/>
              </w:rPr>
              <w:t xml:space="preserve">income_group</w:t>
            </w:r>
          </w:p>
        </w:tc>
        <w:tc>
          <w:tcPr>
            <w:tcW w:type="dxa" w:w="4200"/>
            <w:shd w:fill="FFFFFF" w:val="clear"/>
            <w:tcMar>
              <w:top w:type="dxa" w:w="80"/>
              <w:left w:type="dxa" w:w="120"/>
              <w:bottom w:type="dxa" w:w="80"/>
              <w:right w:type="dxa" w:w="120"/>
            </w:tcMar>
          </w:tcPr>
          <w:p>
            <w:r>
              <w:rPr>
                <w:b w:val="false"/>
                <w:bCs w:val="false"/>
                <w:color w:val="222222"/>
                <w:sz w:val="19"/>
                <w:szCs w:val="19"/>
              </w:rPr>
              <w:t xml:space="preserve">&lt;30K · 30K–60K · 60K–90K · 90K+</w:t>
            </w:r>
          </w:p>
        </w:tc>
        <w:tc>
          <w:tcPr>
            <w:tcW w:type="dxa" w:w="3100"/>
            <w:shd w:fill="FFFFFF" w:val="clear"/>
            <w:tcMar>
              <w:top w:type="dxa" w:w="80"/>
              <w:left w:type="dxa" w:w="120"/>
              <w:bottom w:type="dxa" w:w="80"/>
              <w:right w:type="dxa" w:w="120"/>
            </w:tcMar>
          </w:tcPr>
          <w:p>
            <w:r>
              <w:rPr>
                <w:b w:val="false"/>
                <w:bCs w:val="false"/>
                <w:color w:val="222222"/>
                <w:sz w:val="19"/>
                <w:szCs w:val="19"/>
              </w:rPr>
              <w:t xml:space="preserve">Used for the “avg. loan size by income group” analysis</w:t>
            </w:r>
          </w:p>
        </w:tc>
      </w:tr>
      <w:tr>
        <w:tc>
          <w:tcPr>
            <w:tcW w:type="dxa" w:w="2200"/>
            <w:shd w:fill="FFFFFF" w:val="clear"/>
            <w:tcMar>
              <w:top w:type="dxa" w:w="80"/>
              <w:left w:type="dxa" w:w="120"/>
              <w:bottom w:type="dxa" w:w="80"/>
              <w:right w:type="dxa" w:w="120"/>
            </w:tcMar>
          </w:tcPr>
          <w:p>
            <w:r>
              <w:rPr>
                <w:b w:val="false"/>
                <w:bCs w:val="false"/>
                <w:color w:val="222222"/>
                <w:sz w:val="19"/>
                <w:szCs w:val="19"/>
              </w:rPr>
              <w:t xml:space="preserve">approved_flag</w:t>
            </w:r>
          </w:p>
        </w:tc>
        <w:tc>
          <w:tcPr>
            <w:tcW w:type="dxa" w:w="4200"/>
            <w:shd w:fill="FFFFFF" w:val="clear"/>
            <w:tcMar>
              <w:top w:type="dxa" w:w="80"/>
              <w:left w:type="dxa" w:w="120"/>
              <w:bottom w:type="dxa" w:w="80"/>
              <w:right w:type="dxa" w:w="120"/>
            </w:tcMar>
          </w:tcPr>
          <w:p>
            <w:r>
              <w:rPr>
                <w:b w:val="false"/>
                <w:bCs w:val="false"/>
                <w:color w:val="222222"/>
                <w:sz w:val="19"/>
                <w:szCs w:val="19"/>
              </w:rPr>
              <w:t xml:space="preserve">1 if approval_status = Approved, else 0</w:t>
            </w:r>
          </w:p>
        </w:tc>
        <w:tc>
          <w:tcPr>
            <w:tcW w:type="dxa" w:w="3100"/>
            <w:shd w:fill="FFFFFF" w:val="clear"/>
            <w:tcMar>
              <w:top w:type="dxa" w:w="80"/>
              <w:left w:type="dxa" w:w="120"/>
              <w:bottom w:type="dxa" w:w="80"/>
              <w:right w:type="dxa" w:w="120"/>
            </w:tcMar>
          </w:tcPr>
          <w:p>
            <w:r>
              <w:rPr>
                <w:b w:val="false"/>
                <w:bCs w:val="false"/>
                <w:color w:val="222222"/>
                <w:sz w:val="19"/>
                <w:szCs w:val="19"/>
              </w:rPr>
              <w:t xml:space="preserve">Numeric helper for approval-rate calculations</w:t>
            </w:r>
          </w:p>
        </w:tc>
      </w:tr>
      <w:tr>
        <w:tc>
          <w:tcPr>
            <w:tcW w:type="dxa" w:w="2200"/>
            <w:shd w:fill="FFFFFF" w:val="clear"/>
            <w:tcMar>
              <w:top w:type="dxa" w:w="80"/>
              <w:left w:type="dxa" w:w="120"/>
              <w:bottom w:type="dxa" w:w="80"/>
              <w:right w:type="dxa" w:w="120"/>
            </w:tcMar>
          </w:tcPr>
          <w:p>
            <w:r>
              <w:rPr>
                <w:b w:val="false"/>
                <w:bCs w:val="false"/>
                <w:color w:val="222222"/>
                <w:sz w:val="19"/>
                <w:szCs w:val="19"/>
              </w:rPr>
              <w:t xml:space="preserve">late_payment_band</w:t>
            </w:r>
          </w:p>
        </w:tc>
        <w:tc>
          <w:tcPr>
            <w:tcW w:type="dxa" w:w="4200"/>
            <w:shd w:fill="FFFFFF" w:val="clear"/>
            <w:tcMar>
              <w:top w:type="dxa" w:w="80"/>
              <w:left w:type="dxa" w:w="120"/>
              <w:bottom w:type="dxa" w:w="80"/>
              <w:right w:type="dxa" w:w="120"/>
            </w:tcMar>
          </w:tcPr>
          <w:p>
            <w:r>
              <w:rPr>
                <w:b w:val="false"/>
                <w:bCs w:val="false"/>
                <w:color w:val="222222"/>
                <w:sz w:val="19"/>
                <w:szCs w:val="19"/>
              </w:rPr>
              <w:t xml:space="preserve">0 · 1-2 · 3+ late payments</w:t>
            </w:r>
          </w:p>
        </w:tc>
        <w:tc>
          <w:tcPr>
            <w:tcW w:type="dxa" w:w="3100"/>
            <w:shd w:fill="FFFFFF" w:val="clear"/>
            <w:tcMar>
              <w:top w:type="dxa" w:w="80"/>
              <w:left w:type="dxa" w:w="120"/>
              <w:bottom w:type="dxa" w:w="80"/>
              <w:right w:type="dxa" w:w="120"/>
            </w:tcMar>
          </w:tcPr>
          <w:p>
            <w:r>
              <w:rPr>
                <w:b w:val="false"/>
                <w:bCs w:val="false"/>
                <w:color w:val="222222"/>
                <w:sz w:val="19"/>
                <w:szCs w:val="19"/>
              </w:rPr>
              <w:t xml:space="preserve">Used for the risk-by-late-payments analysis</w:t>
            </w:r>
          </w:p>
        </w:tc>
      </w:tr>
    </w:tbl>
    <w:p>
      <w:pPr>
        <w:spacing w:after="120"/>
      </w:pPr>
    </w:p>
    <w:p>
      <w:pPr>
        <w:pStyle w:val="Heading2"/>
        <w:spacing w:after="120" w:before="260"/>
      </w:pPr>
      <w:r>
        <w:rPr>
          <w:b/>
          <w:bCs/>
          <w:color w:val="1F3A5F"/>
          <w:sz w:val="24"/>
          <w:szCs w:val="24"/>
        </w:rPr>
        <w:t xml:space="preserve">2.3 Validation results</w:t>
      </w:r>
    </w:p>
    <w:p>
      <w:pPr>
        <w:spacing w:after="160" w:line="276"/>
      </w:pPr>
      <w:r>
        <w:rPr>
          <w:color w:val="222222"/>
          <w:sz w:val="21"/>
          <w:szCs w:val="21"/>
        </w:rPr>
        <w:t xml:space="preserve">Five data-quality rules were applied: valid income (&gt; 0), valid credit score (300–850), valid age (18–100), valid loan amount (&gt; 0), and no duplicate applicant IDs. The source data is a clean synthetic dataset, so every row passed:</w:t>
      </w:r>
    </w:p>
    <w:tbl>
      <w:tblPr>
        <w:tblW w:type="dxa" w:w="9500"/>
        <w:tblBorders>
          <w:top w:val="single" w:color="CCCCCC" w:sz="4"/>
          <w:left w:val="single" w:color="CCCCCC" w:sz="4"/>
          <w:bottom w:val="single" w:color="CCCCCC" w:sz="4"/>
          <w:right w:val="single" w:color="CCCCCC" w:sz="4"/>
          <w:insideH w:val="single" w:color="CCCCCC" w:sz="4"/>
          <w:insideV w:val="single" w:color="CCCCCC" w:sz="4"/>
        </w:tblBorders>
      </w:tblPr>
      <w:tblGrid>
        <w:gridCol w:w="4700"/>
        <w:gridCol w:w="4800"/>
      </w:tblGrid>
      <w:tr>
        <w:trPr>
          <w:tblHeader/>
        </w:trPr>
        <w:tc>
          <w:tcPr>
            <w:tcW w:type="dxa" w:w="4700"/>
            <w:shd w:fill="1F3A5F" w:val="clear"/>
            <w:tcMar>
              <w:top w:type="dxa" w:w="80"/>
              <w:left w:type="dxa" w:w="120"/>
              <w:bottom w:type="dxa" w:w="80"/>
              <w:right w:type="dxa" w:w="120"/>
            </w:tcMar>
          </w:tcPr>
          <w:p>
            <w:r>
              <w:rPr>
                <w:b/>
                <w:bCs/>
                <w:color w:val="FFFFFF"/>
                <w:sz w:val="19"/>
                <w:szCs w:val="19"/>
              </w:rPr>
              <w:t xml:space="preserve">Rule</w:t>
            </w:r>
          </w:p>
        </w:tc>
        <w:tc>
          <w:tcPr>
            <w:tcW w:type="dxa" w:w="4800"/>
            <w:shd w:fill="1F3A5F" w:val="clear"/>
            <w:tcMar>
              <w:top w:type="dxa" w:w="80"/>
              <w:left w:type="dxa" w:w="120"/>
              <w:bottom w:type="dxa" w:w="80"/>
              <w:right w:type="dxa" w:w="120"/>
            </w:tcMar>
          </w:tcPr>
          <w:p>
            <w:r>
              <w:rPr>
                <w:b/>
                <w:bCs/>
                <w:color w:val="FFFFFF"/>
                <w:sz w:val="19"/>
                <w:szCs w:val="19"/>
              </w:rPr>
              <w:t xml:space="preserve">Rows flagged</w:t>
            </w:r>
          </w:p>
        </w:tc>
      </w:tr>
      <w:tr>
        <w:tc>
          <w:tcPr>
            <w:tcW w:type="dxa" w:w="4700"/>
            <w:shd w:fill="FFFFFF" w:val="clear"/>
            <w:tcMar>
              <w:top w:type="dxa" w:w="80"/>
              <w:left w:type="dxa" w:w="120"/>
              <w:bottom w:type="dxa" w:w="80"/>
              <w:right w:type="dxa" w:w="120"/>
            </w:tcMar>
          </w:tcPr>
          <w:p>
            <w:r>
              <w:rPr>
                <w:b w:val="false"/>
                <w:bCs w:val="false"/>
                <w:color w:val="222222"/>
                <w:sz w:val="19"/>
                <w:szCs w:val="19"/>
              </w:rPr>
              <w:t xml:space="preserve">Invalid income</w:t>
            </w:r>
          </w:p>
        </w:tc>
        <w:tc>
          <w:tcPr>
            <w:tcW w:type="dxa" w:w="4800"/>
            <w:shd w:fill="FFFFFF" w:val="clear"/>
            <w:tcMar>
              <w:top w:type="dxa" w:w="80"/>
              <w:left w:type="dxa" w:w="120"/>
              <w:bottom w:type="dxa" w:w="80"/>
              <w:right w:type="dxa" w:w="120"/>
            </w:tcMar>
          </w:tcPr>
          <w:p>
            <w:r>
              <w:rPr>
                <w:b w:val="false"/>
                <w:bCs w:val="false"/>
                <w:color w:val="222222"/>
                <w:sz w:val="19"/>
                <w:szCs w:val="19"/>
              </w:rPr>
              <w:t xml:space="preserve">0</w:t>
            </w:r>
          </w:p>
        </w:tc>
      </w:tr>
      <w:tr>
        <w:tc>
          <w:tcPr>
            <w:tcW w:type="dxa" w:w="4700"/>
            <w:shd w:fill="FFFFFF" w:val="clear"/>
            <w:tcMar>
              <w:top w:type="dxa" w:w="80"/>
              <w:left w:type="dxa" w:w="120"/>
              <w:bottom w:type="dxa" w:w="80"/>
              <w:right w:type="dxa" w:w="120"/>
            </w:tcMar>
          </w:tcPr>
          <w:p>
            <w:r>
              <w:rPr>
                <w:b w:val="false"/>
                <w:bCs w:val="false"/>
                <w:color w:val="222222"/>
                <w:sz w:val="19"/>
                <w:szCs w:val="19"/>
              </w:rPr>
              <w:t xml:space="preserve">Invalid credit score</w:t>
            </w:r>
          </w:p>
        </w:tc>
        <w:tc>
          <w:tcPr>
            <w:tcW w:type="dxa" w:w="4800"/>
            <w:shd w:fill="FFFFFF" w:val="clear"/>
            <w:tcMar>
              <w:top w:type="dxa" w:w="80"/>
              <w:left w:type="dxa" w:w="120"/>
              <w:bottom w:type="dxa" w:w="80"/>
              <w:right w:type="dxa" w:w="120"/>
            </w:tcMar>
          </w:tcPr>
          <w:p>
            <w:r>
              <w:rPr>
                <w:b w:val="false"/>
                <w:bCs w:val="false"/>
                <w:color w:val="222222"/>
                <w:sz w:val="19"/>
                <w:szCs w:val="19"/>
              </w:rPr>
              <w:t xml:space="preserve">0</w:t>
            </w:r>
          </w:p>
        </w:tc>
      </w:tr>
      <w:tr>
        <w:tc>
          <w:tcPr>
            <w:tcW w:type="dxa" w:w="4700"/>
            <w:shd w:fill="FFFFFF" w:val="clear"/>
            <w:tcMar>
              <w:top w:type="dxa" w:w="80"/>
              <w:left w:type="dxa" w:w="120"/>
              <w:bottom w:type="dxa" w:w="80"/>
              <w:right w:type="dxa" w:w="120"/>
            </w:tcMar>
          </w:tcPr>
          <w:p>
            <w:r>
              <w:rPr>
                <w:b w:val="false"/>
                <w:bCs w:val="false"/>
                <w:color w:val="222222"/>
                <w:sz w:val="19"/>
                <w:szCs w:val="19"/>
              </w:rPr>
              <w:t xml:space="preserve">Invalid age</w:t>
            </w:r>
          </w:p>
        </w:tc>
        <w:tc>
          <w:tcPr>
            <w:tcW w:type="dxa" w:w="4800"/>
            <w:shd w:fill="FFFFFF" w:val="clear"/>
            <w:tcMar>
              <w:top w:type="dxa" w:w="80"/>
              <w:left w:type="dxa" w:w="120"/>
              <w:bottom w:type="dxa" w:w="80"/>
              <w:right w:type="dxa" w:w="120"/>
            </w:tcMar>
          </w:tcPr>
          <w:p>
            <w:r>
              <w:rPr>
                <w:b w:val="false"/>
                <w:bCs w:val="false"/>
                <w:color w:val="222222"/>
                <w:sz w:val="19"/>
                <w:szCs w:val="19"/>
              </w:rPr>
              <w:t xml:space="preserve">0</w:t>
            </w:r>
          </w:p>
        </w:tc>
      </w:tr>
      <w:tr>
        <w:tc>
          <w:tcPr>
            <w:tcW w:type="dxa" w:w="4700"/>
            <w:shd w:fill="FFFFFF" w:val="clear"/>
            <w:tcMar>
              <w:top w:type="dxa" w:w="80"/>
              <w:left w:type="dxa" w:w="120"/>
              <w:bottom w:type="dxa" w:w="80"/>
              <w:right w:type="dxa" w:w="120"/>
            </w:tcMar>
          </w:tcPr>
          <w:p>
            <w:r>
              <w:rPr>
                <w:b w:val="false"/>
                <w:bCs w:val="false"/>
                <w:color w:val="222222"/>
                <w:sz w:val="19"/>
                <w:szCs w:val="19"/>
              </w:rPr>
              <w:t xml:space="preserve">Invalid loan amount</w:t>
            </w:r>
          </w:p>
        </w:tc>
        <w:tc>
          <w:tcPr>
            <w:tcW w:type="dxa" w:w="4800"/>
            <w:shd w:fill="FFFFFF" w:val="clear"/>
            <w:tcMar>
              <w:top w:type="dxa" w:w="80"/>
              <w:left w:type="dxa" w:w="120"/>
              <w:bottom w:type="dxa" w:w="80"/>
              <w:right w:type="dxa" w:w="120"/>
            </w:tcMar>
          </w:tcPr>
          <w:p>
            <w:r>
              <w:rPr>
                <w:b w:val="false"/>
                <w:bCs w:val="false"/>
                <w:color w:val="222222"/>
                <w:sz w:val="19"/>
                <w:szCs w:val="19"/>
              </w:rPr>
              <w:t xml:space="preserve">0</w:t>
            </w:r>
          </w:p>
        </w:tc>
      </w:tr>
      <w:tr>
        <w:tc>
          <w:tcPr>
            <w:tcW w:type="dxa" w:w="4700"/>
            <w:shd w:fill="FFFFFF" w:val="clear"/>
            <w:tcMar>
              <w:top w:type="dxa" w:w="80"/>
              <w:left w:type="dxa" w:w="120"/>
              <w:bottom w:type="dxa" w:w="80"/>
              <w:right w:type="dxa" w:w="120"/>
            </w:tcMar>
          </w:tcPr>
          <w:p>
            <w:r>
              <w:rPr>
                <w:b w:val="false"/>
                <w:bCs w:val="false"/>
                <w:color w:val="222222"/>
                <w:sz w:val="19"/>
                <w:szCs w:val="19"/>
              </w:rPr>
              <w:t xml:space="preserve">Duplicate applicant_id</w:t>
            </w:r>
          </w:p>
        </w:tc>
        <w:tc>
          <w:tcPr>
            <w:tcW w:type="dxa" w:w="4800"/>
            <w:shd w:fill="FFFFFF" w:val="clear"/>
            <w:tcMar>
              <w:top w:type="dxa" w:w="80"/>
              <w:left w:type="dxa" w:w="120"/>
              <w:bottom w:type="dxa" w:w="80"/>
              <w:right w:type="dxa" w:w="120"/>
            </w:tcMar>
          </w:tcPr>
          <w:p>
            <w:r>
              <w:rPr>
                <w:b w:val="false"/>
                <w:bCs w:val="false"/>
                <w:color w:val="222222"/>
                <w:sz w:val="19"/>
                <w:szCs w:val="19"/>
              </w:rPr>
              <w:t xml:space="preserve">0</w:t>
            </w:r>
          </w:p>
        </w:tc>
      </w:tr>
      <w:tr>
        <w:tc>
          <w:tcPr>
            <w:tcW w:type="dxa" w:w="4700"/>
            <w:shd w:fill="FFFFFF" w:val="clear"/>
            <w:tcMar>
              <w:top w:type="dxa" w:w="80"/>
              <w:left w:type="dxa" w:w="120"/>
              <w:bottom w:type="dxa" w:w="80"/>
              <w:right w:type="dxa" w:w="120"/>
            </w:tcMar>
          </w:tcPr>
          <w:p>
            <w:r>
              <w:rPr>
                <w:b w:val="false"/>
                <w:bCs w:val="false"/>
                <w:color w:val="222222"/>
                <w:sz w:val="19"/>
                <w:szCs w:val="19"/>
              </w:rPr>
              <w:t xml:space="preserve">Total retained</w:t>
            </w:r>
          </w:p>
        </w:tc>
        <w:tc>
          <w:tcPr>
            <w:tcW w:type="dxa" w:w="4800"/>
            <w:shd w:fill="FFFFFF" w:val="clear"/>
            <w:tcMar>
              <w:top w:type="dxa" w:w="80"/>
              <w:left w:type="dxa" w:w="120"/>
              <w:bottom w:type="dxa" w:w="80"/>
              <w:right w:type="dxa" w:w="120"/>
            </w:tcMar>
          </w:tcPr>
          <w:p>
            <w:r>
              <w:rPr>
                <w:b w:val="false"/>
                <w:bCs w:val="false"/>
                <w:color w:val="222222"/>
                <w:sz w:val="19"/>
                <w:szCs w:val="19"/>
              </w:rPr>
              <w:t xml:space="preserve">20,000 / 20,000 (100%)</w:t>
            </w:r>
          </w:p>
        </w:tc>
      </w:tr>
    </w:tbl>
    <w:p>
      <w:pPr>
        <w:spacing w:after="120"/>
      </w:pPr>
    </w:p>
    <w:p>
      <w:pPr>
        <w:pStyle w:val="Heading2"/>
        <w:spacing w:after="120" w:before="260"/>
      </w:pPr>
      <w:r>
        <w:rPr>
          <w:b/>
          <w:bCs/>
          <w:color w:val="1F3A5F"/>
          <w:sz w:val="24"/>
          <w:szCs w:val="24"/>
        </w:rPr>
        <w:t xml:space="preserve">2.4 Core pipeline code</w:t>
      </w:r>
    </w:p>
    <w:p>
      <w:pPr>
        <w:spacing w:after="160" w:line="276"/>
      </w:pPr>
      <w:r>
        <w:rPr>
          <w:color w:val="222222"/>
          <w:sz w:val="21"/>
          <w:szCs w:val="21"/>
        </w:rPr>
        <w:t xml:space="preserve">Extract, validate, and save stages (abridged — full source in credit_pipeline.py):</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def extract_credit_data(path=RAW_PATH):</w:t>
            </w:r>
          </w:p>
          <w:p>
            <w:pPr>
              <w:spacing w:after="20"/>
            </w:pPr>
            <w:r>
              <w:rPr>
                <w:rFonts w:ascii="Consolas" w:cs="Consolas" w:eastAsia="Consolas" w:hAnsi="Consolas"/>
                <w:color w:val="D4D4D4"/>
                <w:sz w:val="18"/>
                <w:szCs w:val="18"/>
              </w:rPr>
              <w:t xml:space="preserve">    df = pd.read_csv(path)</w:t>
            </w:r>
          </w:p>
          <w:p>
            <w:pPr>
              <w:spacing w:after="20"/>
            </w:pPr>
            <w:r>
              <w:rPr>
                <w:rFonts w:ascii="Consolas" w:cs="Consolas" w:eastAsia="Consolas" w:hAnsi="Consolas"/>
                <w:color w:val="D4D4D4"/>
                <w:sz w:val="18"/>
                <w:szCs w:val="18"/>
              </w:rPr>
              <w:t xml:space="preserve">    return df</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def validate_credit_data(df):</w:t>
            </w:r>
          </w:p>
          <w:p>
            <w:pPr>
              <w:spacing w:after="20"/>
            </w:pPr>
            <w:r>
              <w:rPr>
                <w:rFonts w:ascii="Consolas" w:cs="Consolas" w:eastAsia="Consolas" w:hAnsi="Consolas"/>
                <w:color w:val="D4D4D4"/>
                <w:sz w:val="18"/>
                <w:szCs w:val="18"/>
              </w:rPr>
              <w:t xml:space="preserve">    bad_income = df.annual_income.isna() | (df.annual_income &lt;= 0)</w:t>
            </w:r>
          </w:p>
          <w:p>
            <w:pPr>
              <w:spacing w:after="20"/>
            </w:pPr>
            <w:r>
              <w:rPr>
                <w:rFonts w:ascii="Consolas" w:cs="Consolas" w:eastAsia="Consolas" w:hAnsi="Consolas"/>
                <w:color w:val="D4D4D4"/>
                <w:sz w:val="18"/>
                <w:szCs w:val="18"/>
              </w:rPr>
              <w:t xml:space="preserve">    bad_score  = ~df.credit_score.between(300, 850)</w:t>
            </w:r>
          </w:p>
          <w:p>
            <w:pPr>
              <w:spacing w:after="20"/>
            </w:pPr>
            <w:r>
              <w:rPr>
                <w:rFonts w:ascii="Consolas" w:cs="Consolas" w:eastAsia="Consolas" w:hAnsi="Consolas"/>
                <w:color w:val="D4D4D4"/>
                <w:sz w:val="18"/>
                <w:szCs w:val="18"/>
              </w:rPr>
              <w:t xml:space="preserve">    bad_age    = ~df.age.between(18, 100)</w:t>
            </w:r>
          </w:p>
          <w:p>
            <w:pPr>
              <w:spacing w:after="20"/>
            </w:pPr>
            <w:r>
              <w:rPr>
                <w:rFonts w:ascii="Consolas" w:cs="Consolas" w:eastAsia="Consolas" w:hAnsi="Consolas"/>
                <w:color w:val="D4D4D4"/>
                <w:sz w:val="18"/>
                <w:szCs w:val="18"/>
              </w:rPr>
              <w:t xml:space="preserve">    bad_loan   = df.loan_amount.isna() | (df.loan_amount &lt;= 0)</w:t>
            </w:r>
          </w:p>
          <w:p>
            <w:pPr>
              <w:spacing w:after="20"/>
            </w:pPr>
            <w:r>
              <w:rPr>
                <w:rFonts w:ascii="Consolas" w:cs="Consolas" w:eastAsia="Consolas" w:hAnsi="Consolas"/>
                <w:color w:val="D4D4D4"/>
                <w:sz w:val="18"/>
                <w:szCs w:val="18"/>
              </w:rPr>
              <w:t xml:space="preserve">    dup        = df.duplicated(subset='applicant_id')</w:t>
            </w:r>
          </w:p>
          <w:p>
            <w:pPr>
              <w:spacing w:after="20"/>
            </w:pPr>
            <w:r>
              <w:rPr>
                <w:rFonts w:ascii="Consolas" w:cs="Consolas" w:eastAsia="Consolas" w:hAnsi="Consolas"/>
                <w:color w:val="D4D4D4"/>
                <w:sz w:val="18"/>
                <w:szCs w:val="18"/>
              </w:rPr>
              <w:t xml:space="preserve">    bad = bad_income | bad_score | bad_age | bad_loan | dup</w:t>
            </w:r>
          </w:p>
          <w:p>
            <w:pPr>
              <w:spacing w:after="20"/>
            </w:pPr>
            <w:r>
              <w:rPr>
                <w:rFonts w:ascii="Consolas" w:cs="Consolas" w:eastAsia="Consolas" w:hAnsi="Consolas"/>
                <w:color w:val="D4D4D4"/>
                <w:sz w:val="18"/>
                <w:szCs w:val="18"/>
              </w:rPr>
              <w:t xml:space="preserve">    return df.loc[~bad].reset_index(drop=True)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def save_credit_data(df):</w:t>
            </w:r>
          </w:p>
          <w:p>
            <w:pPr>
              <w:spacing w:after="20"/>
            </w:pPr>
            <w:r>
              <w:rPr>
                <w:rFonts w:ascii="Consolas" w:cs="Consolas" w:eastAsia="Consolas" w:hAnsi="Consolas"/>
                <w:color w:val="D4D4D4"/>
                <w:sz w:val="18"/>
                <w:szCs w:val="18"/>
              </w:rPr>
              <w:t xml:space="preserve">    df.to_csv('cleaned_credit_data.csv', index=False)</w:t>
            </w:r>
          </w:p>
          <w:p>
            <w:pPr>
              <w:spacing w:after="20"/>
            </w:pPr>
            <w:r>
              <w:rPr>
                <w:rFonts w:ascii="Consolas" w:cs="Consolas" w:eastAsia="Consolas" w:hAnsi="Consolas"/>
                <w:color w:val="D4D4D4"/>
                <w:sz w:val="18"/>
                <w:szCs w:val="18"/>
              </w:rPr>
              <w:t xml:space="preserve">    with sqlite3.connect('credit_analysis.db') as conn:</w:t>
            </w:r>
          </w:p>
          <w:p>
            <w:pPr>
              <w:spacing w:after="20"/>
            </w:pPr>
            <w:r>
              <w:rPr>
                <w:rFonts w:ascii="Consolas" w:cs="Consolas" w:eastAsia="Consolas" w:hAnsi="Consolas"/>
                <w:color w:val="D4D4D4"/>
                <w:sz w:val="18"/>
                <w:szCs w:val="18"/>
              </w:rPr>
              <w:t xml:space="preserve">        df.to_sql('credit_applications', conn, if_exists='replace', index=False)</w:t>
            </w:r>
          </w:p>
        </w:tc>
      </w:tr>
    </w:tbl>
    <w:p>
      <w:r>
        <w:br w:type="page"/>
      </w:r>
    </w:p>
    <w:p>
      <w:pPr>
        <w:pStyle w:val="Heading1"/>
        <w:pBdr>
          <w:bottom w:val="single" w:color="1F3A5F" w:sz="6" w:space="4"/>
        </w:pBdr>
        <w:spacing w:after="160" w:before="320"/>
      </w:pPr>
      <w:r>
        <w:rPr>
          <w:b/>
          <w:bCs/>
          <w:color w:val="1F3A5F"/>
          <w:sz w:val="30"/>
          <w:szCs w:val="30"/>
        </w:rPr>
        <w:t xml:space="preserve">3. Phase 1 — Exploratory Data Analysis</w:t>
      </w:r>
    </w:p>
    <w:p>
      <w:pPr>
        <w:spacing w:after="160" w:line="276"/>
      </w:pPr>
      <w:r>
        <w:rPr>
          <w:color w:val="222222"/>
          <w:sz w:val="21"/>
          <w:szCs w:val="21"/>
        </w:rPr>
        <w:t xml:space="preserve">Before running the required SQL analyses, a quick pandas exploration checks the shape of the underlying variables — this changes how the Phase 2 results should be read.</w:t>
      </w:r>
    </w:p>
    <w:p>
      <w:pPr>
        <w:pStyle w:val="Heading2"/>
        <w:spacing w:after="120" w:before="260"/>
      </w:pPr>
      <w:r>
        <w:rPr>
          <w:b/>
          <w:bCs/>
          <w:color w:val="1F3A5F"/>
          <w:sz w:val="24"/>
          <w:szCs w:val="24"/>
        </w:rPr>
        <w:t xml:space="preserve">3.1 Income distribution</w:t>
      </w:r>
    </w:p>
    <w:p>
      <w:pPr>
        <w:spacing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220" w:before="60"/>
        <w:jc w:val="center"/>
      </w:pPr>
      <w:r>
        <w:rPr>
          <w:i/>
          <w:iCs/>
          <w:color w:val="666666"/>
          <w:sz w:val="18"/>
          <w:szCs w:val="18"/>
        </w:rPr>
        <w:t xml:space="preserve">Applicant annual income, $15,011 – $119,998 (mean $67,306, std $30,339, skew ≈ 0.01).</w:t>
      </w:r>
    </w:p>
    <w:p>
      <w:pPr>
        <w:spacing w:after="160" w:line="276"/>
      </w:pPr>
      <w:r>
        <w:rPr>
          <w:color w:val="222222"/>
          <w:sz w:val="21"/>
          <w:szCs w:val="21"/>
        </w:rPr>
        <w:t xml:space="preserve">Income is essentially flat across its range rather than concentrated around a typical salary band: the mean, standard deviation, and near-zero skew match what a uniform random draw over $15K–$120K would produce. That is a property of this synthetic dataset — a real applicant pool would show a right-skewed income distribution clustered at lower/mid incomes with a long tail.</w:t>
      </w:r>
    </w:p>
    <w:p>
      <w:pPr>
        <w:pStyle w:val="Heading2"/>
        <w:spacing w:after="120" w:before="260"/>
      </w:pPr>
      <w:r>
        <w:rPr>
          <w:b/>
          <w:bCs/>
          <w:color w:val="1F3A5F"/>
          <w:sz w:val="24"/>
          <w:szCs w:val="24"/>
        </w:rPr>
        <w:t xml:space="preserve">3.2 Credit score risk tiers</w:t>
      </w:r>
    </w:p>
    <w:p>
      <w:pPr>
        <w:spacing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43300"/>
                    </a:xfrm>
                    <a:prstGeom prst="rect">
                      <a:avLst/>
                    </a:prstGeom>
                  </pic:spPr>
                </pic:pic>
              </a:graphicData>
            </a:graphic>
          </wp:inline>
        </w:drawing>
      </w:r>
    </w:p>
    <w:p>
      <w:pPr>
        <w:spacing w:after="220" w:before="60"/>
        <w:jc w:val="center"/>
      </w:pPr>
      <w:r>
        <w:rPr>
          <w:i/>
          <w:iCs/>
          <w:color w:val="666666"/>
          <w:sz w:val="18"/>
          <w:szCs w:val="18"/>
        </w:rPr>
        <w:t xml:space="preserve">Applicants binned into standard FICO-style risk tiers.</w:t>
      </w:r>
    </w:p>
    <w:p>
      <w:pPr>
        <w:spacing w:after="160" w:line="276"/>
      </w:pPr>
      <w:r>
        <w:rPr>
          <w:color w:val="222222"/>
          <w:sz w:val="21"/>
          <w:szCs w:val="21"/>
        </w:rPr>
        <w:t xml:space="preserve">51% of applicants fall into the “Poor” tier (10,178 of 20,000). This is not evidence that the portfolio is unusually risky — credit_score itself is uniformly distributed from 300–850 (mean 574.5, std 158.0, matching the theoretical uniform std of 158.8), and the Poor band (300–579) is simply the widest of the five FICO bands, so it captures the largest share of a flat distribution by construction.</w:t>
      </w:r>
    </w:p>
    <w:p>
      <w:pPr>
        <w:pStyle w:val="Heading2"/>
        <w:spacing w:after="120" w:before="260"/>
      </w:pPr>
      <w:r>
        <w:rPr>
          <w:b/>
          <w:bCs/>
          <w:color w:val="1F3A5F"/>
          <w:sz w:val="24"/>
          <w:szCs w:val="24"/>
        </w:rPr>
        <w:t xml:space="preserve">3.3 Employment years vs. approval rate</w:t>
      </w:r>
    </w:p>
    <w:p>
      <w:pPr>
        <w:spacing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43300"/>
                    </a:xfrm>
                    <a:prstGeom prst="rect">
                      <a:avLst/>
                    </a:prstGeom>
                  </pic:spPr>
                </pic:pic>
              </a:graphicData>
            </a:graphic>
          </wp:inline>
        </w:drawing>
      </w:r>
    </w:p>
    <w:p>
      <w:pPr>
        <w:spacing w:after="220" w:before="60"/>
        <w:jc w:val="center"/>
      </w:pPr>
      <w:r>
        <w:rPr>
          <w:i/>
          <w:iCs/>
          <w:color w:val="666666"/>
          <w:sz w:val="18"/>
          <w:szCs w:val="18"/>
        </w:rPr>
        <w:t xml:space="preserve">Loan approval rate by banded years of employment.</w:t>
      </w:r>
    </w:p>
    <w:p>
      <w:pPr>
        <w:spacing w:after="160" w:line="276"/>
      </w:pPr>
      <w:r>
        <w:rPr>
          <w:color w:val="222222"/>
          <w:sz w:val="21"/>
          <w:szCs w:val="21"/>
        </w:rPr>
        <w:t xml:space="preserve">Approval rate stays in a narrow 32.7%–35.7% band across every employment-tenure group, with no upward or downward trend. In this dataset, employment tenure does not appear to drive approval outcomes — consistent with the uniform/independent generation of the underlying fields noted above.</w:t>
      </w:r>
    </w:p>
    <w:p>
      <w:r>
        <w:br w:type="page"/>
      </w:r>
    </w:p>
    <w:p>
      <w:pPr>
        <w:pStyle w:val="Heading1"/>
        <w:pBdr>
          <w:bottom w:val="single" w:color="1F3A5F" w:sz="6" w:space="4"/>
        </w:pBdr>
        <w:spacing w:after="160" w:before="320"/>
      </w:pPr>
      <w:r>
        <w:rPr>
          <w:b/>
          <w:bCs/>
          <w:color w:val="1F3A5F"/>
          <w:sz w:val="30"/>
          <w:szCs w:val="30"/>
        </w:rPr>
        <w:t xml:space="preserve">4. Phase 2 — SQL Analysis</w:t>
      </w:r>
    </w:p>
    <w:p>
      <w:pPr>
        <w:spacing w:after="160" w:line="276"/>
      </w:pPr>
      <w:r>
        <w:rPr>
          <w:color w:val="222222"/>
          <w:sz w:val="21"/>
          <w:szCs w:val="21"/>
        </w:rPr>
        <w:t xml:space="preserve">All five queries run against the credit_applications table in credit_analysis.db (SQLite dialect; portable to MySQL/PostgreSQL/T-SQL with minor syntax changes). Full script: phase2_sql_queries.sql.</w:t>
      </w:r>
    </w:p>
    <w:p>
      <w:pPr>
        <w:pStyle w:val="Heading2"/>
        <w:spacing w:after="120" w:before="260"/>
      </w:pPr>
      <w:r>
        <w:rPr>
          <w:b/>
          <w:bCs/>
          <w:color w:val="1F3A5F"/>
          <w:sz w:val="24"/>
          <w:szCs w:val="24"/>
        </w:rPr>
        <w:t xml:space="preserve">4.1 Top loan purposes requested</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SELECT loan_purpose, COUNT(*) AS num_applications,</w:t>
            </w:r>
          </w:p>
          <w:p>
            <w:pPr>
              <w:spacing w:after="20"/>
            </w:pPr>
            <w:r>
              <w:rPr>
                <w:rFonts w:ascii="Consolas" w:cs="Consolas" w:eastAsia="Consolas" w:hAnsi="Consolas"/>
                <w:color w:val="D4D4D4"/>
                <w:sz w:val="18"/>
                <w:szCs w:val="18"/>
              </w:rPr>
              <w:t xml:space="preserve">       ROUND(100.0*COUNT(*)/(SELECT COUNT(*) FROM credit_applications),2) AS pct_of_total</w:t>
            </w:r>
          </w:p>
          <w:p>
            <w:pPr>
              <w:spacing w:after="20"/>
            </w:pPr>
            <w:r>
              <w:rPr>
                <w:rFonts w:ascii="Consolas" w:cs="Consolas" w:eastAsia="Consolas" w:hAnsi="Consolas"/>
                <w:color w:val="D4D4D4"/>
                <w:sz w:val="18"/>
                <w:szCs w:val="18"/>
              </w:rPr>
              <w:t xml:space="preserve">FROM credit_applications</w:t>
            </w:r>
          </w:p>
          <w:p>
            <w:pPr>
              <w:spacing w:after="20"/>
            </w:pPr>
            <w:r>
              <w:rPr>
                <w:rFonts w:ascii="Consolas" w:cs="Consolas" w:eastAsia="Consolas" w:hAnsi="Consolas"/>
                <w:color w:val="D4D4D4"/>
                <w:sz w:val="18"/>
                <w:szCs w:val="18"/>
              </w:rPr>
              <w:t xml:space="preserve">GROUP BY loan_purpose ORDER BY num_applications DESC;</w:t>
            </w:r>
          </w:p>
        </w:tc>
      </w:tr>
    </w:tbl>
    <w:p>
      <w:pPr>
        <w:spacing w:after="80"/>
      </w:pPr>
    </w:p>
    <w:tbl>
      <w:tblPr>
        <w:tblW w:type="dxa" w:w="9500"/>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3200"/>
        <w:gridCol w:w="3100"/>
      </w:tblGrid>
      <w:tr>
        <w:trPr>
          <w:tblHeader/>
        </w:trPr>
        <w:tc>
          <w:tcPr>
            <w:tcW w:type="dxa" w:w="3200"/>
            <w:shd w:fill="1F3A5F" w:val="clear"/>
            <w:tcMar>
              <w:top w:type="dxa" w:w="80"/>
              <w:left w:type="dxa" w:w="120"/>
              <w:bottom w:type="dxa" w:w="80"/>
              <w:right w:type="dxa" w:w="120"/>
            </w:tcMar>
          </w:tcPr>
          <w:p>
            <w:r>
              <w:rPr>
                <w:b/>
                <w:bCs/>
                <w:color w:val="FFFFFF"/>
                <w:sz w:val="19"/>
                <w:szCs w:val="19"/>
              </w:rPr>
              <w:t xml:space="preserve">Loan purpose</w:t>
            </w:r>
          </w:p>
        </w:tc>
        <w:tc>
          <w:tcPr>
            <w:tcW w:type="dxa" w:w="3200"/>
            <w:shd w:fill="1F3A5F" w:val="clear"/>
            <w:tcMar>
              <w:top w:type="dxa" w:w="80"/>
              <w:left w:type="dxa" w:w="120"/>
              <w:bottom w:type="dxa" w:w="80"/>
              <w:right w:type="dxa" w:w="120"/>
            </w:tcMar>
          </w:tcPr>
          <w:p>
            <w:r>
              <w:rPr>
                <w:b/>
                <w:bCs/>
                <w:color w:val="FFFFFF"/>
                <w:sz w:val="19"/>
                <w:szCs w:val="19"/>
              </w:rPr>
              <w:t xml:space="preserve">Applications</w:t>
            </w:r>
          </w:p>
        </w:tc>
        <w:tc>
          <w:tcPr>
            <w:tcW w:type="dxa" w:w="3100"/>
            <w:shd w:fill="1F3A5F" w:val="clear"/>
            <w:tcMar>
              <w:top w:type="dxa" w:w="80"/>
              <w:left w:type="dxa" w:w="120"/>
              <w:bottom w:type="dxa" w:w="80"/>
              <w:right w:type="dxa" w:w="120"/>
            </w:tcMar>
          </w:tcPr>
          <w:p>
            <w:r>
              <w:rPr>
                <w:b/>
                <w:bCs/>
                <w:color w:val="FFFFFF"/>
                <w:sz w:val="19"/>
                <w:szCs w:val="19"/>
              </w:rPr>
              <w:t xml:space="preserve">% of total</w:t>
            </w:r>
          </w:p>
        </w:tc>
      </w:tr>
      <w:tr>
        <w:tc>
          <w:tcPr>
            <w:tcW w:type="dxa" w:w="3200"/>
            <w:shd w:fill="FFFFFF" w:val="clear"/>
            <w:tcMar>
              <w:top w:type="dxa" w:w="80"/>
              <w:left w:type="dxa" w:w="120"/>
              <w:bottom w:type="dxa" w:w="80"/>
              <w:right w:type="dxa" w:w="120"/>
            </w:tcMar>
          </w:tcPr>
          <w:p>
            <w:r>
              <w:rPr>
                <w:b w:val="false"/>
                <w:bCs w:val="false"/>
                <w:color w:val="222222"/>
                <w:sz w:val="19"/>
                <w:szCs w:val="19"/>
              </w:rPr>
              <w:t xml:space="preserve">Business</w:t>
            </w:r>
          </w:p>
        </w:tc>
        <w:tc>
          <w:tcPr>
            <w:tcW w:type="dxa" w:w="3200"/>
            <w:shd w:fill="FFFFFF" w:val="clear"/>
            <w:tcMar>
              <w:top w:type="dxa" w:w="80"/>
              <w:left w:type="dxa" w:w="120"/>
              <w:bottom w:type="dxa" w:w="80"/>
              <w:right w:type="dxa" w:w="120"/>
            </w:tcMar>
          </w:tcPr>
          <w:p>
            <w:r>
              <w:rPr>
                <w:b w:val="false"/>
                <w:bCs w:val="false"/>
                <w:color w:val="222222"/>
                <w:sz w:val="19"/>
                <w:szCs w:val="19"/>
              </w:rPr>
              <w:t xml:space="preserve">4,092</w:t>
            </w:r>
          </w:p>
        </w:tc>
        <w:tc>
          <w:tcPr>
            <w:tcW w:type="dxa" w:w="3100"/>
            <w:shd w:fill="FFFFFF" w:val="clear"/>
            <w:tcMar>
              <w:top w:type="dxa" w:w="80"/>
              <w:left w:type="dxa" w:w="120"/>
              <w:bottom w:type="dxa" w:w="80"/>
              <w:right w:type="dxa" w:w="120"/>
            </w:tcMar>
          </w:tcPr>
          <w:p>
            <w:r>
              <w:rPr>
                <w:b w:val="false"/>
                <w:bCs w:val="false"/>
                <w:color w:val="222222"/>
                <w:sz w:val="19"/>
                <w:szCs w:val="19"/>
              </w:rPr>
              <w:t xml:space="preserve">20.46%</w:t>
            </w:r>
          </w:p>
        </w:tc>
      </w:tr>
      <w:tr>
        <w:tc>
          <w:tcPr>
            <w:tcW w:type="dxa" w:w="3200"/>
            <w:shd w:fill="FFFFFF" w:val="clear"/>
            <w:tcMar>
              <w:top w:type="dxa" w:w="80"/>
              <w:left w:type="dxa" w:w="120"/>
              <w:bottom w:type="dxa" w:w="80"/>
              <w:right w:type="dxa" w:w="120"/>
            </w:tcMar>
          </w:tcPr>
          <w:p>
            <w:r>
              <w:rPr>
                <w:b w:val="false"/>
                <w:bCs w:val="false"/>
                <w:color w:val="222222"/>
                <w:sz w:val="19"/>
                <w:szCs w:val="19"/>
              </w:rPr>
              <w:t xml:space="preserve">Home</w:t>
            </w:r>
          </w:p>
        </w:tc>
        <w:tc>
          <w:tcPr>
            <w:tcW w:type="dxa" w:w="3200"/>
            <w:shd w:fill="FFFFFF" w:val="clear"/>
            <w:tcMar>
              <w:top w:type="dxa" w:w="80"/>
              <w:left w:type="dxa" w:w="120"/>
              <w:bottom w:type="dxa" w:w="80"/>
              <w:right w:type="dxa" w:w="120"/>
            </w:tcMar>
          </w:tcPr>
          <w:p>
            <w:r>
              <w:rPr>
                <w:b w:val="false"/>
                <w:bCs w:val="false"/>
                <w:color w:val="222222"/>
                <w:sz w:val="19"/>
                <w:szCs w:val="19"/>
              </w:rPr>
              <w:t xml:space="preserve">4,021</w:t>
            </w:r>
          </w:p>
        </w:tc>
        <w:tc>
          <w:tcPr>
            <w:tcW w:type="dxa" w:w="3100"/>
            <w:shd w:fill="FFFFFF" w:val="clear"/>
            <w:tcMar>
              <w:top w:type="dxa" w:w="80"/>
              <w:left w:type="dxa" w:w="120"/>
              <w:bottom w:type="dxa" w:w="80"/>
              <w:right w:type="dxa" w:w="120"/>
            </w:tcMar>
          </w:tcPr>
          <w:p>
            <w:r>
              <w:rPr>
                <w:b w:val="false"/>
                <w:bCs w:val="false"/>
                <w:color w:val="222222"/>
                <w:sz w:val="19"/>
                <w:szCs w:val="19"/>
              </w:rPr>
              <w:t xml:space="preserve">20.11%</w:t>
            </w:r>
          </w:p>
        </w:tc>
      </w:tr>
      <w:tr>
        <w:tc>
          <w:tcPr>
            <w:tcW w:type="dxa" w:w="3200"/>
            <w:shd w:fill="FFFFFF" w:val="clear"/>
            <w:tcMar>
              <w:top w:type="dxa" w:w="80"/>
              <w:left w:type="dxa" w:w="120"/>
              <w:bottom w:type="dxa" w:w="80"/>
              <w:right w:type="dxa" w:w="120"/>
            </w:tcMar>
          </w:tcPr>
          <w:p>
            <w:r>
              <w:rPr>
                <w:b w:val="false"/>
                <w:bCs w:val="false"/>
                <w:color w:val="222222"/>
                <w:sz w:val="19"/>
                <w:szCs w:val="19"/>
              </w:rPr>
              <w:t xml:space="preserve">Education</w:t>
            </w:r>
          </w:p>
        </w:tc>
        <w:tc>
          <w:tcPr>
            <w:tcW w:type="dxa" w:w="3200"/>
            <w:shd w:fill="FFFFFF" w:val="clear"/>
            <w:tcMar>
              <w:top w:type="dxa" w:w="80"/>
              <w:left w:type="dxa" w:w="120"/>
              <w:bottom w:type="dxa" w:w="80"/>
              <w:right w:type="dxa" w:w="120"/>
            </w:tcMar>
          </w:tcPr>
          <w:p>
            <w:r>
              <w:rPr>
                <w:b w:val="false"/>
                <w:bCs w:val="false"/>
                <w:color w:val="222222"/>
                <w:sz w:val="19"/>
                <w:szCs w:val="19"/>
              </w:rPr>
              <w:t xml:space="preserve">4,007</w:t>
            </w:r>
          </w:p>
        </w:tc>
        <w:tc>
          <w:tcPr>
            <w:tcW w:type="dxa" w:w="3100"/>
            <w:shd w:fill="FFFFFF" w:val="clear"/>
            <w:tcMar>
              <w:top w:type="dxa" w:w="80"/>
              <w:left w:type="dxa" w:w="120"/>
              <w:bottom w:type="dxa" w:w="80"/>
              <w:right w:type="dxa" w:w="120"/>
            </w:tcMar>
          </w:tcPr>
          <w:p>
            <w:r>
              <w:rPr>
                <w:b w:val="false"/>
                <w:bCs w:val="false"/>
                <w:color w:val="222222"/>
                <w:sz w:val="19"/>
                <w:szCs w:val="19"/>
              </w:rPr>
              <w:t xml:space="preserve">20.04%</w:t>
            </w:r>
          </w:p>
        </w:tc>
      </w:tr>
      <w:tr>
        <w:tc>
          <w:tcPr>
            <w:tcW w:type="dxa" w:w="3200"/>
            <w:shd w:fill="FFFFFF" w:val="clear"/>
            <w:tcMar>
              <w:top w:type="dxa" w:w="80"/>
              <w:left w:type="dxa" w:w="120"/>
              <w:bottom w:type="dxa" w:w="80"/>
              <w:right w:type="dxa" w:w="120"/>
            </w:tcMar>
          </w:tcPr>
          <w:p>
            <w:r>
              <w:rPr>
                <w:b w:val="false"/>
                <w:bCs w:val="false"/>
                <w:color w:val="222222"/>
                <w:sz w:val="19"/>
                <w:szCs w:val="19"/>
              </w:rPr>
              <w:t xml:space="preserve">Personal</w:t>
            </w:r>
          </w:p>
        </w:tc>
        <w:tc>
          <w:tcPr>
            <w:tcW w:type="dxa" w:w="3200"/>
            <w:shd w:fill="FFFFFF" w:val="clear"/>
            <w:tcMar>
              <w:top w:type="dxa" w:w="80"/>
              <w:left w:type="dxa" w:w="120"/>
              <w:bottom w:type="dxa" w:w="80"/>
              <w:right w:type="dxa" w:w="120"/>
            </w:tcMar>
          </w:tcPr>
          <w:p>
            <w:r>
              <w:rPr>
                <w:b w:val="false"/>
                <w:bCs w:val="false"/>
                <w:color w:val="222222"/>
                <w:sz w:val="19"/>
                <w:szCs w:val="19"/>
              </w:rPr>
              <w:t xml:space="preserve">3,969</w:t>
            </w:r>
          </w:p>
        </w:tc>
        <w:tc>
          <w:tcPr>
            <w:tcW w:type="dxa" w:w="3100"/>
            <w:shd w:fill="FFFFFF" w:val="clear"/>
            <w:tcMar>
              <w:top w:type="dxa" w:w="80"/>
              <w:left w:type="dxa" w:w="120"/>
              <w:bottom w:type="dxa" w:w="80"/>
              <w:right w:type="dxa" w:w="120"/>
            </w:tcMar>
          </w:tcPr>
          <w:p>
            <w:r>
              <w:rPr>
                <w:b w:val="false"/>
                <w:bCs w:val="false"/>
                <w:color w:val="222222"/>
                <w:sz w:val="19"/>
                <w:szCs w:val="19"/>
              </w:rPr>
              <w:t xml:space="preserve">19.84%</w:t>
            </w:r>
          </w:p>
        </w:tc>
      </w:tr>
      <w:tr>
        <w:tc>
          <w:tcPr>
            <w:tcW w:type="dxa" w:w="3200"/>
            <w:shd w:fill="FFFFFF" w:val="clear"/>
            <w:tcMar>
              <w:top w:type="dxa" w:w="80"/>
              <w:left w:type="dxa" w:w="120"/>
              <w:bottom w:type="dxa" w:w="80"/>
              <w:right w:type="dxa" w:w="120"/>
            </w:tcMar>
          </w:tcPr>
          <w:p>
            <w:r>
              <w:rPr>
                <w:b w:val="false"/>
                <w:bCs w:val="false"/>
                <w:color w:val="222222"/>
                <w:sz w:val="19"/>
                <w:szCs w:val="19"/>
              </w:rPr>
              <w:t xml:space="preserve">Car</w:t>
            </w:r>
          </w:p>
        </w:tc>
        <w:tc>
          <w:tcPr>
            <w:tcW w:type="dxa" w:w="3200"/>
            <w:shd w:fill="FFFFFF" w:val="clear"/>
            <w:tcMar>
              <w:top w:type="dxa" w:w="80"/>
              <w:left w:type="dxa" w:w="120"/>
              <w:bottom w:type="dxa" w:w="80"/>
              <w:right w:type="dxa" w:w="120"/>
            </w:tcMar>
          </w:tcPr>
          <w:p>
            <w:r>
              <w:rPr>
                <w:b w:val="false"/>
                <w:bCs w:val="false"/>
                <w:color w:val="222222"/>
                <w:sz w:val="19"/>
                <w:szCs w:val="19"/>
              </w:rPr>
              <w:t xml:space="preserve">3,911</w:t>
            </w:r>
          </w:p>
        </w:tc>
        <w:tc>
          <w:tcPr>
            <w:tcW w:type="dxa" w:w="3100"/>
            <w:shd w:fill="FFFFFF" w:val="clear"/>
            <w:tcMar>
              <w:top w:type="dxa" w:w="80"/>
              <w:left w:type="dxa" w:w="120"/>
              <w:bottom w:type="dxa" w:w="80"/>
              <w:right w:type="dxa" w:w="120"/>
            </w:tcMar>
          </w:tcPr>
          <w:p>
            <w:r>
              <w:rPr>
                <w:b w:val="false"/>
                <w:bCs w:val="false"/>
                <w:color w:val="222222"/>
                <w:sz w:val="19"/>
                <w:szCs w:val="19"/>
              </w:rPr>
              <w:t xml:space="preserve">19.55%</w:t>
            </w:r>
          </w:p>
        </w:tc>
      </w:tr>
    </w:tbl>
    <w:p>
      <w:pPr>
        <w:spacing w:after="120"/>
      </w:pPr>
    </w:p>
    <w:p>
      <w:pPr>
        <w:spacing w:after="160" w:line="276"/>
      </w:pPr>
      <w:r>
        <w:rPr>
          <w:color w:val="222222"/>
          <w:sz w:val="21"/>
          <w:szCs w:val="21"/>
        </w:rPr>
        <w:t xml:space="preserve">Demand is essentially even across all five loan purposes (19.5%–20.5% each) — no single purpose dominates applicant intent in this portfolio.</w:t>
      </w:r>
    </w:p>
    <w:p>
      <w:pPr>
        <w:pStyle w:val="Heading2"/>
        <w:spacing w:after="120" w:before="260"/>
      </w:pPr>
      <w:r>
        <w:rPr>
          <w:b/>
          <w:bCs/>
          <w:color w:val="1F3A5F"/>
          <w:sz w:val="24"/>
          <w:szCs w:val="24"/>
        </w:rPr>
        <w:t xml:space="preserve">4.2 Approval rates by region and employment type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SELECT region, COUNT(*) AS total,</w:t>
            </w:r>
          </w:p>
          <w:p>
            <w:pPr>
              <w:spacing w:after="20"/>
            </w:pPr>
            <w:r>
              <w:rPr>
                <w:rFonts w:ascii="Consolas" w:cs="Consolas" w:eastAsia="Consolas" w:hAnsi="Consolas"/>
                <w:color w:val="D4D4D4"/>
                <w:sz w:val="18"/>
                <w:szCs w:val="18"/>
              </w:rPr>
              <w:t xml:space="preserve">       SUM(CASE WHEN approval_status='Approved' THEN 1 ELSE 0 END) AS approved,</w:t>
            </w:r>
          </w:p>
          <w:p>
            <w:pPr>
              <w:spacing w:after="20"/>
            </w:pPr>
            <w:r>
              <w:rPr>
                <w:rFonts w:ascii="Consolas" w:cs="Consolas" w:eastAsia="Consolas" w:hAnsi="Consolas"/>
                <w:color w:val="D4D4D4"/>
                <w:sz w:val="18"/>
                <w:szCs w:val="18"/>
              </w:rPr>
              <w:t xml:space="preserve">       ROUND(100.0*SUM(CASE WHEN approval_status='Approved' THEN 1 ELSE 0 END)/COUNT(*),2) AS approval_rate_pct</w:t>
            </w:r>
          </w:p>
          <w:p>
            <w:pPr>
              <w:spacing w:after="20"/>
            </w:pPr>
            <w:r>
              <w:rPr>
                <w:rFonts w:ascii="Consolas" w:cs="Consolas" w:eastAsia="Consolas" w:hAnsi="Consolas"/>
                <w:color w:val="D4D4D4"/>
                <w:sz w:val="18"/>
                <w:szCs w:val="18"/>
              </w:rPr>
              <w:t xml:space="preserve">FROM credit_applications GROUP BY region ORDER BY approval_rate_pct DESC;</w:t>
            </w:r>
          </w:p>
          <w:p>
            <w:pPr>
              <w:spacing w:after="20"/>
            </w:pPr>
            <w:r>
              <w:rPr>
                <w:rFonts w:ascii="Consolas" w:cs="Consolas" w:eastAsia="Consolas" w:hAnsi="Consolas"/>
                <w:color w:val="D4D4D4"/>
                <w:sz w:val="18"/>
                <w:szCs w:val="18"/>
              </w:rPr>
              <w:t xml:space="preserve">-- (same pattern grouped by employment_status for the second view)</w:t>
            </w:r>
          </w:p>
        </w:tc>
      </w:tr>
    </w:tbl>
    <w:p>
      <w:pPr>
        <w:spacing w:after="80"/>
      </w:pPr>
    </w:p>
    <w:tbl>
      <w:tblPr>
        <w:tblW w:type="dxa" w:w="95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400"/>
        <w:gridCol w:w="2200"/>
        <w:gridCol w:w="2500"/>
      </w:tblGrid>
      <w:tr>
        <w:trPr>
          <w:tblHeader/>
        </w:trPr>
        <w:tc>
          <w:tcPr>
            <w:tcW w:type="dxa" w:w="2400"/>
            <w:shd w:fill="1F3A5F" w:val="clear"/>
            <w:tcMar>
              <w:top w:type="dxa" w:w="80"/>
              <w:left w:type="dxa" w:w="120"/>
              <w:bottom w:type="dxa" w:w="80"/>
              <w:right w:type="dxa" w:w="120"/>
            </w:tcMar>
          </w:tcPr>
          <w:p>
            <w:r>
              <w:rPr>
                <w:b/>
                <w:bCs/>
                <w:color w:val="FFFFFF"/>
                <w:sz w:val="19"/>
                <w:szCs w:val="19"/>
              </w:rPr>
              <w:t xml:space="preserve">Region</w:t>
            </w:r>
          </w:p>
        </w:tc>
        <w:tc>
          <w:tcPr>
            <w:tcW w:type="dxa" w:w="2400"/>
            <w:shd w:fill="1F3A5F" w:val="clear"/>
            <w:tcMar>
              <w:top w:type="dxa" w:w="80"/>
              <w:left w:type="dxa" w:w="120"/>
              <w:bottom w:type="dxa" w:w="80"/>
              <w:right w:type="dxa" w:w="120"/>
            </w:tcMar>
          </w:tcPr>
          <w:p>
            <w:r>
              <w:rPr>
                <w:b/>
                <w:bCs/>
                <w:color w:val="FFFFFF"/>
                <w:sz w:val="19"/>
                <w:szCs w:val="19"/>
              </w:rPr>
              <w:t xml:space="preserve">Applications</w:t>
            </w:r>
          </w:p>
        </w:tc>
        <w:tc>
          <w:tcPr>
            <w:tcW w:type="dxa" w:w="2200"/>
            <w:shd w:fill="1F3A5F" w:val="clear"/>
            <w:tcMar>
              <w:top w:type="dxa" w:w="80"/>
              <w:left w:type="dxa" w:w="120"/>
              <w:bottom w:type="dxa" w:w="80"/>
              <w:right w:type="dxa" w:w="120"/>
            </w:tcMar>
          </w:tcPr>
          <w:p>
            <w:r>
              <w:rPr>
                <w:b/>
                <w:bCs/>
                <w:color w:val="FFFFFF"/>
                <w:sz w:val="19"/>
                <w:szCs w:val="19"/>
              </w:rPr>
              <w:t xml:space="preserve">Approved</w:t>
            </w:r>
          </w:p>
        </w:tc>
        <w:tc>
          <w:tcPr>
            <w:tcW w:type="dxa" w:w="2500"/>
            <w:shd w:fill="1F3A5F" w:val="clear"/>
            <w:tcMar>
              <w:top w:type="dxa" w:w="80"/>
              <w:left w:type="dxa" w:w="120"/>
              <w:bottom w:type="dxa" w:w="80"/>
              <w:right w:type="dxa" w:w="120"/>
            </w:tcMar>
          </w:tcPr>
          <w:p>
            <w:r>
              <w:rPr>
                <w:b/>
                <w:bCs/>
                <w:color w:val="FFFFFF"/>
                <w:sz w:val="19"/>
                <w:szCs w:val="19"/>
              </w:rPr>
              <w:t xml:space="preserve">Approval rate</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Manchester</w:t>
            </w:r>
          </w:p>
        </w:tc>
        <w:tc>
          <w:tcPr>
            <w:tcW w:type="dxa" w:w="2400"/>
            <w:shd w:fill="FFFFFF" w:val="clear"/>
            <w:tcMar>
              <w:top w:type="dxa" w:w="80"/>
              <w:left w:type="dxa" w:w="120"/>
              <w:bottom w:type="dxa" w:w="80"/>
              <w:right w:type="dxa" w:w="120"/>
            </w:tcMar>
          </w:tcPr>
          <w:p>
            <w:r>
              <w:rPr>
                <w:b w:val="false"/>
                <w:bCs w:val="false"/>
                <w:color w:val="222222"/>
                <w:sz w:val="19"/>
                <w:szCs w:val="19"/>
              </w:rPr>
              <w:t xml:space="preserve">2,884</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1,032</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35.78%</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London</w:t>
            </w:r>
          </w:p>
        </w:tc>
        <w:tc>
          <w:tcPr>
            <w:tcW w:type="dxa" w:w="2400"/>
            <w:shd w:fill="FFFFFF" w:val="clear"/>
            <w:tcMar>
              <w:top w:type="dxa" w:w="80"/>
              <w:left w:type="dxa" w:w="120"/>
              <w:bottom w:type="dxa" w:w="80"/>
              <w:right w:type="dxa" w:w="120"/>
            </w:tcMar>
          </w:tcPr>
          <w:p>
            <w:r>
              <w:rPr>
                <w:b w:val="false"/>
                <w:bCs w:val="false"/>
                <w:color w:val="222222"/>
                <w:sz w:val="19"/>
                <w:szCs w:val="19"/>
              </w:rPr>
              <w:t xml:space="preserve">2,877</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993</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34.52%</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Leeds</w:t>
            </w:r>
          </w:p>
        </w:tc>
        <w:tc>
          <w:tcPr>
            <w:tcW w:type="dxa" w:w="2400"/>
            <w:shd w:fill="FFFFFF" w:val="clear"/>
            <w:tcMar>
              <w:top w:type="dxa" w:w="80"/>
              <w:left w:type="dxa" w:w="120"/>
              <w:bottom w:type="dxa" w:w="80"/>
              <w:right w:type="dxa" w:w="120"/>
            </w:tcMar>
          </w:tcPr>
          <w:p>
            <w:r>
              <w:rPr>
                <w:b w:val="false"/>
                <w:bCs w:val="false"/>
                <w:color w:val="222222"/>
                <w:sz w:val="19"/>
                <w:szCs w:val="19"/>
              </w:rPr>
              <w:t xml:space="preserve">2,821</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973</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34.49%</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Glasgow</w:t>
            </w:r>
          </w:p>
        </w:tc>
        <w:tc>
          <w:tcPr>
            <w:tcW w:type="dxa" w:w="2400"/>
            <w:shd w:fill="FFFFFF" w:val="clear"/>
            <w:tcMar>
              <w:top w:type="dxa" w:w="80"/>
              <w:left w:type="dxa" w:w="120"/>
              <w:bottom w:type="dxa" w:w="80"/>
              <w:right w:type="dxa" w:w="120"/>
            </w:tcMar>
          </w:tcPr>
          <w:p>
            <w:r>
              <w:rPr>
                <w:b w:val="false"/>
                <w:bCs w:val="false"/>
                <w:color w:val="222222"/>
                <w:sz w:val="19"/>
                <w:szCs w:val="19"/>
              </w:rPr>
              <w:t xml:space="preserve">2,849</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976</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34.26%</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Birmingham</w:t>
            </w:r>
          </w:p>
        </w:tc>
        <w:tc>
          <w:tcPr>
            <w:tcW w:type="dxa" w:w="2400"/>
            <w:shd w:fill="FFFFFF" w:val="clear"/>
            <w:tcMar>
              <w:top w:type="dxa" w:w="80"/>
              <w:left w:type="dxa" w:w="120"/>
              <w:bottom w:type="dxa" w:w="80"/>
              <w:right w:type="dxa" w:w="120"/>
            </w:tcMar>
          </w:tcPr>
          <w:p>
            <w:r>
              <w:rPr>
                <w:b w:val="false"/>
                <w:bCs w:val="false"/>
                <w:color w:val="222222"/>
                <w:sz w:val="19"/>
                <w:szCs w:val="19"/>
              </w:rPr>
              <w:t xml:space="preserve">2,849</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944</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33.13%</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Sheffield</w:t>
            </w:r>
          </w:p>
        </w:tc>
        <w:tc>
          <w:tcPr>
            <w:tcW w:type="dxa" w:w="2400"/>
            <w:shd w:fill="FFFFFF" w:val="clear"/>
            <w:tcMar>
              <w:top w:type="dxa" w:w="80"/>
              <w:left w:type="dxa" w:w="120"/>
              <w:bottom w:type="dxa" w:w="80"/>
              <w:right w:type="dxa" w:w="120"/>
            </w:tcMar>
          </w:tcPr>
          <w:p>
            <w:r>
              <w:rPr>
                <w:b w:val="false"/>
                <w:bCs w:val="false"/>
                <w:color w:val="222222"/>
                <w:sz w:val="19"/>
                <w:szCs w:val="19"/>
              </w:rPr>
              <w:t xml:space="preserve">2,876</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938</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32.61%</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Liverpool</w:t>
            </w:r>
          </w:p>
        </w:tc>
        <w:tc>
          <w:tcPr>
            <w:tcW w:type="dxa" w:w="2400"/>
            <w:shd w:fill="FFFFFF" w:val="clear"/>
            <w:tcMar>
              <w:top w:type="dxa" w:w="80"/>
              <w:left w:type="dxa" w:w="120"/>
              <w:bottom w:type="dxa" w:w="80"/>
              <w:right w:type="dxa" w:w="120"/>
            </w:tcMar>
          </w:tcPr>
          <w:p>
            <w:r>
              <w:rPr>
                <w:b w:val="false"/>
                <w:bCs w:val="false"/>
                <w:color w:val="222222"/>
                <w:sz w:val="19"/>
                <w:szCs w:val="19"/>
              </w:rPr>
              <w:t xml:space="preserve">2,844</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924</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32.49%</w:t>
            </w:r>
          </w:p>
        </w:tc>
      </w:tr>
    </w:tbl>
    <w:p>
      <w:pPr>
        <w:spacing w:after="80"/>
      </w:pPr>
    </w:p>
    <w:tbl>
      <w:tblPr>
        <w:tblW w:type="dxa" w:w="95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400"/>
        <w:gridCol w:w="2200"/>
        <w:gridCol w:w="2500"/>
      </w:tblGrid>
      <w:tr>
        <w:trPr>
          <w:tblHeader/>
        </w:trPr>
        <w:tc>
          <w:tcPr>
            <w:tcW w:type="dxa" w:w="2400"/>
            <w:shd w:fill="1F3A5F" w:val="clear"/>
            <w:tcMar>
              <w:top w:type="dxa" w:w="80"/>
              <w:left w:type="dxa" w:w="120"/>
              <w:bottom w:type="dxa" w:w="80"/>
              <w:right w:type="dxa" w:w="120"/>
            </w:tcMar>
          </w:tcPr>
          <w:p>
            <w:r>
              <w:rPr>
                <w:b/>
                <w:bCs/>
                <w:color w:val="FFFFFF"/>
                <w:sz w:val="19"/>
                <w:szCs w:val="19"/>
              </w:rPr>
              <w:t xml:space="preserve">Employment type</w:t>
            </w:r>
          </w:p>
        </w:tc>
        <w:tc>
          <w:tcPr>
            <w:tcW w:type="dxa" w:w="2400"/>
            <w:shd w:fill="1F3A5F" w:val="clear"/>
            <w:tcMar>
              <w:top w:type="dxa" w:w="80"/>
              <w:left w:type="dxa" w:w="120"/>
              <w:bottom w:type="dxa" w:w="80"/>
              <w:right w:type="dxa" w:w="120"/>
            </w:tcMar>
          </w:tcPr>
          <w:p>
            <w:r>
              <w:rPr>
                <w:b/>
                <w:bCs/>
                <w:color w:val="FFFFFF"/>
                <w:sz w:val="19"/>
                <w:szCs w:val="19"/>
              </w:rPr>
              <w:t xml:space="preserve">Applications</w:t>
            </w:r>
          </w:p>
        </w:tc>
        <w:tc>
          <w:tcPr>
            <w:tcW w:type="dxa" w:w="2200"/>
            <w:shd w:fill="1F3A5F" w:val="clear"/>
            <w:tcMar>
              <w:top w:type="dxa" w:w="80"/>
              <w:left w:type="dxa" w:w="120"/>
              <w:bottom w:type="dxa" w:w="80"/>
              <w:right w:type="dxa" w:w="120"/>
            </w:tcMar>
          </w:tcPr>
          <w:p>
            <w:r>
              <w:rPr>
                <w:b/>
                <w:bCs/>
                <w:color w:val="FFFFFF"/>
                <w:sz w:val="19"/>
                <w:szCs w:val="19"/>
              </w:rPr>
              <w:t xml:space="preserve">Approved</w:t>
            </w:r>
          </w:p>
        </w:tc>
        <w:tc>
          <w:tcPr>
            <w:tcW w:type="dxa" w:w="2500"/>
            <w:shd w:fill="1F3A5F" w:val="clear"/>
            <w:tcMar>
              <w:top w:type="dxa" w:w="80"/>
              <w:left w:type="dxa" w:w="120"/>
              <w:bottom w:type="dxa" w:w="80"/>
              <w:right w:type="dxa" w:w="120"/>
            </w:tcMar>
          </w:tcPr>
          <w:p>
            <w:r>
              <w:rPr>
                <w:b/>
                <w:bCs/>
                <w:color w:val="FFFFFF"/>
                <w:sz w:val="19"/>
                <w:szCs w:val="19"/>
              </w:rPr>
              <w:t xml:space="preserve">Approval rate</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Unemployed</w:t>
            </w:r>
          </w:p>
        </w:tc>
        <w:tc>
          <w:tcPr>
            <w:tcW w:type="dxa" w:w="2400"/>
            <w:shd w:fill="FFFFFF" w:val="clear"/>
            <w:tcMar>
              <w:top w:type="dxa" w:w="80"/>
              <w:left w:type="dxa" w:w="120"/>
              <w:bottom w:type="dxa" w:w="80"/>
              <w:right w:type="dxa" w:w="120"/>
            </w:tcMar>
          </w:tcPr>
          <w:p>
            <w:r>
              <w:rPr>
                <w:b w:val="false"/>
                <w:bCs w:val="false"/>
                <w:color w:val="222222"/>
                <w:sz w:val="19"/>
                <w:szCs w:val="19"/>
              </w:rPr>
              <w:t xml:space="preserve">6,712</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2,313</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34.46%</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Employed</w:t>
            </w:r>
          </w:p>
        </w:tc>
        <w:tc>
          <w:tcPr>
            <w:tcW w:type="dxa" w:w="2400"/>
            <w:shd w:fill="FFFFFF" w:val="clear"/>
            <w:tcMar>
              <w:top w:type="dxa" w:w="80"/>
              <w:left w:type="dxa" w:w="120"/>
              <w:bottom w:type="dxa" w:w="80"/>
              <w:right w:type="dxa" w:w="120"/>
            </w:tcMar>
          </w:tcPr>
          <w:p>
            <w:r>
              <w:rPr>
                <w:b w:val="false"/>
                <w:bCs w:val="false"/>
                <w:color w:val="222222"/>
                <w:sz w:val="19"/>
                <w:szCs w:val="19"/>
              </w:rPr>
              <w:t xml:space="preserve">6,698</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2,296</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34.28%</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Self-employed</w:t>
            </w:r>
          </w:p>
        </w:tc>
        <w:tc>
          <w:tcPr>
            <w:tcW w:type="dxa" w:w="2400"/>
            <w:shd w:fill="FFFFFF" w:val="clear"/>
            <w:tcMar>
              <w:top w:type="dxa" w:w="80"/>
              <w:left w:type="dxa" w:w="120"/>
              <w:bottom w:type="dxa" w:w="80"/>
              <w:right w:type="dxa" w:w="120"/>
            </w:tcMar>
          </w:tcPr>
          <w:p>
            <w:r>
              <w:rPr>
                <w:b w:val="false"/>
                <w:bCs w:val="false"/>
                <w:color w:val="222222"/>
                <w:sz w:val="19"/>
                <w:szCs w:val="19"/>
              </w:rPr>
              <w:t xml:space="preserve">6,590</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2,171</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32.94%</w:t>
            </w:r>
          </w:p>
        </w:tc>
      </w:tr>
    </w:tbl>
    <w:p>
      <w:pPr>
        <w:spacing w:after="120"/>
      </w:pPr>
    </w:p>
    <w:p>
      <w:pPr>
        <w:spacing w:after="160" w:line="276"/>
      </w:pPr>
      <w:r>
        <w:rPr>
          <w:color w:val="222222"/>
          <w:sz w:val="21"/>
          <w:szCs w:val="21"/>
        </w:rPr>
        <w:t xml:space="preserve">Approval rates cluster tightly around 33–36% for every region and every employment type — a 3.3-point spread across regions and under 1.5 points across employment types. Neither geography nor employment status is a meaningful driver of approval outcome in this dataset; the small differences observed are consistent with random noise rather than a systematic effect.</w:t>
      </w:r>
    </w:p>
    <w:p>
      <w:pPr>
        <w:pStyle w:val="Heading2"/>
        <w:spacing w:after="120" w:before="260"/>
      </w:pPr>
      <w:r>
        <w:rPr>
          <w:b/>
          <w:bCs/>
          <w:color w:val="1F3A5F"/>
          <w:sz w:val="24"/>
          <w:szCs w:val="24"/>
        </w:rPr>
        <w:t xml:space="preserve">4.3 Credit score trends vs. default history</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SELECT defaulted_before, COUNT(*) AS num_applicants,</w:t>
            </w:r>
          </w:p>
          <w:p>
            <w:pPr>
              <w:spacing w:after="20"/>
            </w:pPr>
            <w:r>
              <w:rPr>
                <w:rFonts w:ascii="Consolas" w:cs="Consolas" w:eastAsia="Consolas" w:hAnsi="Consolas"/>
                <w:color w:val="D4D4D4"/>
                <w:sz w:val="18"/>
                <w:szCs w:val="18"/>
              </w:rPr>
              <w:t xml:space="preserve">       ROUND(AVG(credit_score),1) AS avg_credit_score</w:t>
            </w:r>
          </w:p>
          <w:p>
            <w:pPr>
              <w:spacing w:after="20"/>
            </w:pPr>
            <w:r>
              <w:rPr>
                <w:rFonts w:ascii="Consolas" w:cs="Consolas" w:eastAsia="Consolas" w:hAnsi="Consolas"/>
                <w:color w:val="D4D4D4"/>
                <w:sz w:val="18"/>
                <w:szCs w:val="18"/>
              </w:rPr>
              <w:t xml:space="preserve">FROM credit_applications GROUP BY defaulted_before;</w:t>
            </w:r>
          </w:p>
        </w:tc>
      </w:tr>
    </w:tbl>
    <w:p>
      <w:pPr>
        <w:spacing w:after="80"/>
      </w:pPr>
    </w:p>
    <w:tbl>
      <w:tblPr>
        <w:tblW w:type="dxa" w:w="96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200"/>
        <w:gridCol w:w="2400"/>
        <w:gridCol w:w="1200"/>
        <w:gridCol w:w="1200"/>
      </w:tblGrid>
      <w:tr>
        <w:trPr>
          <w:tblHeader/>
        </w:trPr>
        <w:tc>
          <w:tcPr>
            <w:tcW w:type="dxa" w:w="2600"/>
            <w:shd w:fill="1F3A5F" w:val="clear"/>
            <w:tcMar>
              <w:top w:type="dxa" w:w="80"/>
              <w:left w:type="dxa" w:w="120"/>
              <w:bottom w:type="dxa" w:w="80"/>
              <w:right w:type="dxa" w:w="120"/>
            </w:tcMar>
          </w:tcPr>
          <w:p>
            <w:r>
              <w:rPr>
                <w:b/>
                <w:bCs/>
                <w:color w:val="FFFFFF"/>
                <w:sz w:val="19"/>
                <w:szCs w:val="19"/>
              </w:rPr>
              <w:t xml:space="preserve">Defaulted before?</w:t>
            </w:r>
          </w:p>
        </w:tc>
        <w:tc>
          <w:tcPr>
            <w:tcW w:type="dxa" w:w="2200"/>
            <w:shd w:fill="1F3A5F" w:val="clear"/>
            <w:tcMar>
              <w:top w:type="dxa" w:w="80"/>
              <w:left w:type="dxa" w:w="120"/>
              <w:bottom w:type="dxa" w:w="80"/>
              <w:right w:type="dxa" w:w="120"/>
            </w:tcMar>
          </w:tcPr>
          <w:p>
            <w:r>
              <w:rPr>
                <w:b/>
                <w:bCs/>
                <w:color w:val="FFFFFF"/>
                <w:sz w:val="19"/>
                <w:szCs w:val="19"/>
              </w:rPr>
              <w:t xml:space="preserve">Applicants</w:t>
            </w:r>
          </w:p>
        </w:tc>
        <w:tc>
          <w:tcPr>
            <w:tcW w:type="dxa" w:w="2400"/>
            <w:shd w:fill="1F3A5F" w:val="clear"/>
            <w:tcMar>
              <w:top w:type="dxa" w:w="80"/>
              <w:left w:type="dxa" w:w="120"/>
              <w:bottom w:type="dxa" w:w="80"/>
              <w:right w:type="dxa" w:w="120"/>
            </w:tcMar>
          </w:tcPr>
          <w:p>
            <w:r>
              <w:rPr>
                <w:b/>
                <w:bCs/>
                <w:color w:val="FFFFFF"/>
                <w:sz w:val="19"/>
                <w:szCs w:val="19"/>
              </w:rPr>
              <w:t xml:space="preserve">Avg. credit score</w:t>
            </w:r>
          </w:p>
        </w:tc>
        <w:tc>
          <w:tcPr>
            <w:tcW w:type="dxa" w:w="1200"/>
            <w:shd w:fill="1F3A5F" w:val="clear"/>
            <w:tcMar>
              <w:top w:type="dxa" w:w="80"/>
              <w:left w:type="dxa" w:w="120"/>
              <w:bottom w:type="dxa" w:w="80"/>
              <w:right w:type="dxa" w:w="120"/>
            </w:tcMar>
          </w:tcPr>
          <w:p>
            <w:r>
              <w:rPr>
                <w:b/>
                <w:bCs/>
                <w:color w:val="FFFFFF"/>
                <w:sz w:val="19"/>
                <w:szCs w:val="19"/>
              </w:rPr>
              <w:t xml:space="preserve">Min</w:t>
            </w:r>
          </w:p>
        </w:tc>
        <w:tc>
          <w:tcPr>
            <w:tcW w:type="dxa" w:w="1200"/>
            <w:shd w:fill="1F3A5F" w:val="clear"/>
            <w:tcMar>
              <w:top w:type="dxa" w:w="80"/>
              <w:left w:type="dxa" w:w="120"/>
              <w:bottom w:type="dxa" w:w="80"/>
              <w:right w:type="dxa" w:w="120"/>
            </w:tcMar>
          </w:tcPr>
          <w:p>
            <w:r>
              <w:rPr>
                <w:b/>
                <w:bCs/>
                <w:color w:val="FFFFFF"/>
                <w:sz w:val="19"/>
                <w:szCs w:val="19"/>
              </w:rPr>
              <w:t xml:space="preserve">Max</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No</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17,967</w:t>
            </w:r>
          </w:p>
        </w:tc>
        <w:tc>
          <w:tcPr>
            <w:tcW w:type="dxa" w:w="2400"/>
            <w:shd w:fill="FFFFFF" w:val="clear"/>
            <w:tcMar>
              <w:top w:type="dxa" w:w="80"/>
              <w:left w:type="dxa" w:w="120"/>
              <w:bottom w:type="dxa" w:w="80"/>
              <w:right w:type="dxa" w:w="120"/>
            </w:tcMar>
          </w:tcPr>
          <w:p>
            <w:r>
              <w:rPr>
                <w:b w:val="false"/>
                <w:bCs w:val="false"/>
                <w:color w:val="222222"/>
                <w:sz w:val="19"/>
                <w:szCs w:val="19"/>
              </w:rPr>
              <w:t xml:space="preserve">575.3</w:t>
            </w:r>
          </w:p>
        </w:tc>
        <w:tc>
          <w:tcPr>
            <w:tcW w:type="dxa" w:w="1200"/>
            <w:shd w:fill="FFFFFF" w:val="clear"/>
            <w:tcMar>
              <w:top w:type="dxa" w:w="80"/>
              <w:left w:type="dxa" w:w="120"/>
              <w:bottom w:type="dxa" w:w="80"/>
              <w:right w:type="dxa" w:w="120"/>
            </w:tcMar>
          </w:tcPr>
          <w:p>
            <w:r>
              <w:rPr>
                <w:b w:val="false"/>
                <w:bCs w:val="false"/>
                <w:color w:val="222222"/>
                <w:sz w:val="19"/>
                <w:szCs w:val="19"/>
              </w:rPr>
              <w:t xml:space="preserve">300</w:t>
            </w:r>
          </w:p>
        </w:tc>
        <w:tc>
          <w:tcPr>
            <w:tcW w:type="dxa" w:w="1200"/>
            <w:shd w:fill="FFFFFF" w:val="clear"/>
            <w:tcMar>
              <w:top w:type="dxa" w:w="80"/>
              <w:left w:type="dxa" w:w="120"/>
              <w:bottom w:type="dxa" w:w="80"/>
              <w:right w:type="dxa" w:w="120"/>
            </w:tcMar>
          </w:tcPr>
          <w:p>
            <w:r>
              <w:rPr>
                <w:b w:val="false"/>
                <w:bCs w:val="false"/>
                <w:color w:val="222222"/>
                <w:sz w:val="19"/>
                <w:szCs w:val="19"/>
              </w:rPr>
              <w:t xml:space="preserve">850</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Yes</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2,033</w:t>
            </w:r>
          </w:p>
        </w:tc>
        <w:tc>
          <w:tcPr>
            <w:tcW w:type="dxa" w:w="2400"/>
            <w:shd w:fill="FFFFFF" w:val="clear"/>
            <w:tcMar>
              <w:top w:type="dxa" w:w="80"/>
              <w:left w:type="dxa" w:w="120"/>
              <w:bottom w:type="dxa" w:w="80"/>
              <w:right w:type="dxa" w:w="120"/>
            </w:tcMar>
          </w:tcPr>
          <w:p>
            <w:r>
              <w:rPr>
                <w:b w:val="false"/>
                <w:bCs w:val="false"/>
                <w:color w:val="222222"/>
                <w:sz w:val="19"/>
                <w:szCs w:val="19"/>
              </w:rPr>
              <w:t xml:space="preserve">567.7</w:t>
            </w:r>
          </w:p>
        </w:tc>
        <w:tc>
          <w:tcPr>
            <w:tcW w:type="dxa" w:w="1200"/>
            <w:shd w:fill="FFFFFF" w:val="clear"/>
            <w:tcMar>
              <w:top w:type="dxa" w:w="80"/>
              <w:left w:type="dxa" w:w="120"/>
              <w:bottom w:type="dxa" w:w="80"/>
              <w:right w:type="dxa" w:w="120"/>
            </w:tcMar>
          </w:tcPr>
          <w:p>
            <w:r>
              <w:rPr>
                <w:b w:val="false"/>
                <w:bCs w:val="false"/>
                <w:color w:val="222222"/>
                <w:sz w:val="19"/>
                <w:szCs w:val="19"/>
              </w:rPr>
              <w:t xml:space="preserve">300</w:t>
            </w:r>
          </w:p>
        </w:tc>
        <w:tc>
          <w:tcPr>
            <w:tcW w:type="dxa" w:w="1200"/>
            <w:shd w:fill="FFFFFF" w:val="clear"/>
            <w:tcMar>
              <w:top w:type="dxa" w:w="80"/>
              <w:left w:type="dxa" w:w="120"/>
              <w:bottom w:type="dxa" w:w="80"/>
              <w:right w:type="dxa" w:w="120"/>
            </w:tcMar>
          </w:tcPr>
          <w:p>
            <w:r>
              <w:rPr>
                <w:b w:val="false"/>
                <w:bCs w:val="false"/>
                <w:color w:val="222222"/>
                <w:sz w:val="19"/>
                <w:szCs w:val="19"/>
              </w:rPr>
              <w:t xml:space="preserve">850</w:t>
            </w:r>
          </w:p>
        </w:tc>
      </w:tr>
    </w:tbl>
    <w:p>
      <w:pPr>
        <w:spacing w:after="120"/>
      </w:pPr>
    </w:p>
    <w:p>
      <w:pPr>
        <w:spacing w:after="160" w:line="276"/>
      </w:pPr>
      <w:r>
        <w:rPr>
          <w:color w:val="222222"/>
          <w:sz w:val="21"/>
          <w:szCs w:val="21"/>
        </w:rPr>
        <w:t xml:space="preserve">Applicants with a prior default average only 7.6 points lower on credit score than those without one (567.7 vs. 575.3) — a small gap on a 550-point scale. In a real bureau dataset, prior default is usually one of the strongest score predictors, so this weak relationship is again a signature of the synthetic, largely independent generation of these fields rather than a market finding.</w:t>
      </w:r>
    </w:p>
    <w:p>
      <w:pPr>
        <w:pStyle w:val="Heading2"/>
        <w:spacing w:after="120" w:before="260"/>
      </w:pPr>
      <w:r>
        <w:rPr>
          <w:b/>
          <w:bCs/>
          <w:color w:val="1F3A5F"/>
          <w:sz w:val="24"/>
          <w:szCs w:val="24"/>
        </w:rPr>
        <w:t xml:space="preserve">4.4 Risk classification by late payments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SELECT late_payment_band, COUNT(*) AS n,</w:t>
            </w:r>
          </w:p>
          <w:p>
            <w:pPr>
              <w:spacing w:after="20"/>
            </w:pPr>
            <w:r>
              <w:rPr>
                <w:rFonts w:ascii="Consolas" w:cs="Consolas" w:eastAsia="Consolas" w:hAnsi="Consolas"/>
                <w:color w:val="D4D4D4"/>
                <w:sz w:val="18"/>
                <w:szCs w:val="18"/>
              </w:rPr>
              <w:t xml:space="preserve">       ROUND(100.0*SUM(risk_flag)/COUNT(*),2) AS pct_flagged_high_risk,</w:t>
            </w:r>
          </w:p>
          <w:p>
            <w:pPr>
              <w:spacing w:after="20"/>
            </w:pPr>
            <w:r>
              <w:rPr>
                <w:rFonts w:ascii="Consolas" w:cs="Consolas" w:eastAsia="Consolas" w:hAnsi="Consolas"/>
                <w:color w:val="D4D4D4"/>
                <w:sz w:val="18"/>
                <w:szCs w:val="18"/>
              </w:rPr>
              <w:t xml:space="preserve">       ROUND(100.0*SUM(defaulted_before)/COUNT(*),2) AS pct_defaulted_before</w:t>
            </w:r>
          </w:p>
          <w:p>
            <w:pPr>
              <w:spacing w:after="20"/>
            </w:pPr>
            <w:r>
              <w:rPr>
                <w:rFonts w:ascii="Consolas" w:cs="Consolas" w:eastAsia="Consolas" w:hAnsi="Consolas"/>
                <w:color w:val="D4D4D4"/>
                <w:sz w:val="18"/>
                <w:szCs w:val="18"/>
              </w:rPr>
              <w:t xml:space="preserve">FROM credit_applications GROUP BY late_payment_band;</w:t>
            </w:r>
          </w:p>
        </w:tc>
      </w:tr>
    </w:tbl>
    <w:p>
      <w:pPr>
        <w:spacing w:after="80"/>
      </w:pPr>
    </w:p>
    <w:tbl>
      <w:tblPr>
        <w:tblW w:type="dxa" w:w="96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200"/>
        <w:gridCol w:w="2500"/>
        <w:gridCol w:w="2500"/>
      </w:tblGrid>
      <w:tr>
        <w:trPr>
          <w:tblHeader/>
        </w:trPr>
        <w:tc>
          <w:tcPr>
            <w:tcW w:type="dxa" w:w="2400"/>
            <w:shd w:fill="1F3A5F" w:val="clear"/>
            <w:tcMar>
              <w:top w:type="dxa" w:w="80"/>
              <w:left w:type="dxa" w:w="120"/>
              <w:bottom w:type="dxa" w:w="80"/>
              <w:right w:type="dxa" w:w="120"/>
            </w:tcMar>
          </w:tcPr>
          <w:p>
            <w:r>
              <w:rPr>
                <w:b/>
                <w:bCs/>
                <w:color w:val="FFFFFF"/>
                <w:sz w:val="19"/>
                <w:szCs w:val="19"/>
              </w:rPr>
              <w:t xml:space="preserve">Late payments</w:t>
            </w:r>
          </w:p>
        </w:tc>
        <w:tc>
          <w:tcPr>
            <w:tcW w:type="dxa" w:w="2200"/>
            <w:shd w:fill="1F3A5F" w:val="clear"/>
            <w:tcMar>
              <w:top w:type="dxa" w:w="80"/>
              <w:left w:type="dxa" w:w="120"/>
              <w:bottom w:type="dxa" w:w="80"/>
              <w:right w:type="dxa" w:w="120"/>
            </w:tcMar>
          </w:tcPr>
          <w:p>
            <w:r>
              <w:rPr>
                <w:b/>
                <w:bCs/>
                <w:color w:val="FFFFFF"/>
                <w:sz w:val="19"/>
                <w:szCs w:val="19"/>
              </w:rPr>
              <w:t xml:space="preserve">Applicants</w:t>
            </w:r>
          </w:p>
        </w:tc>
        <w:tc>
          <w:tcPr>
            <w:tcW w:type="dxa" w:w="2500"/>
            <w:shd w:fill="1F3A5F" w:val="clear"/>
            <w:tcMar>
              <w:top w:type="dxa" w:w="80"/>
              <w:left w:type="dxa" w:w="120"/>
              <w:bottom w:type="dxa" w:w="80"/>
              <w:right w:type="dxa" w:w="120"/>
            </w:tcMar>
          </w:tcPr>
          <w:p>
            <w:r>
              <w:rPr>
                <w:b/>
                <w:bCs/>
                <w:color w:val="FFFFFF"/>
                <w:sz w:val="19"/>
                <w:szCs w:val="19"/>
              </w:rPr>
              <w:t xml:space="preserve">% flagged high risk</w:t>
            </w:r>
          </w:p>
        </w:tc>
        <w:tc>
          <w:tcPr>
            <w:tcW w:type="dxa" w:w="2500"/>
            <w:shd w:fill="1F3A5F" w:val="clear"/>
            <w:tcMar>
              <w:top w:type="dxa" w:w="80"/>
              <w:left w:type="dxa" w:w="120"/>
              <w:bottom w:type="dxa" w:w="80"/>
              <w:right w:type="dxa" w:w="120"/>
            </w:tcMar>
          </w:tcPr>
          <w:p>
            <w:r>
              <w:rPr>
                <w:b/>
                <w:bCs/>
                <w:color w:val="FFFFFF"/>
                <w:sz w:val="19"/>
                <w:szCs w:val="19"/>
              </w:rPr>
              <w:t xml:space="preserve">% defaulted before</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0</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7,326</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15.30%</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10.24%</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1-2</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11,053</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14.96%</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10.30%</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3+</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1,621</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16.04%</w:t>
            </w:r>
          </w:p>
        </w:tc>
        <w:tc>
          <w:tcPr>
            <w:tcW w:type="dxa" w:w="2500"/>
            <w:shd w:fill="FFFFFF" w:val="clear"/>
            <w:tcMar>
              <w:top w:type="dxa" w:w="80"/>
              <w:left w:type="dxa" w:w="120"/>
              <w:bottom w:type="dxa" w:w="80"/>
              <w:right w:type="dxa" w:w="120"/>
            </w:tcMar>
          </w:tcPr>
          <w:p>
            <w:r>
              <w:rPr>
                <w:b w:val="false"/>
                <w:bCs w:val="false"/>
                <w:color w:val="222222"/>
                <w:sz w:val="19"/>
                <w:szCs w:val="19"/>
              </w:rPr>
              <w:t xml:space="preserve">8.88%</w:t>
            </w:r>
          </w:p>
        </w:tc>
      </w:tr>
    </w:tbl>
    <w:p>
      <w:pPr>
        <w:spacing w:after="120"/>
      </w:pPr>
    </w:p>
    <w:p>
      <w:pPr>
        <w:spacing w:after="160" w:line="276"/>
      </w:pPr>
      <w:r>
        <w:rPr>
          <w:color w:val="222222"/>
          <w:sz w:val="21"/>
          <w:szCs w:val="21"/>
        </w:rPr>
        <w:t xml:space="preserve">Both the high-risk flag rate (~15–16%) and prior-default rate (~9–10%) stay flat across late-payment bands. In a live risk model, more late payments would normally raise the default rate monotonically — its absence here is a further sign that risk_flag and defaulted_before were generated independently of late_payments in this dataset, worth flagging if the dataset is later used to train a scoring model.</w:t>
      </w:r>
    </w:p>
    <w:p>
      <w:pPr>
        <w:pStyle w:val="Heading2"/>
        <w:spacing w:after="120" w:before="260"/>
      </w:pPr>
      <w:r>
        <w:rPr>
          <w:b/>
          <w:bCs/>
          <w:color w:val="1F3A5F"/>
          <w:sz w:val="24"/>
          <w:szCs w:val="24"/>
        </w:rPr>
        <w:t xml:space="preserve">4.5 Average loan size by income group</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SELECT income_group, COUNT(*) AS n, ROUND(AVG(loan_amount),2) AS avg_loan_amount,</w:t>
            </w:r>
          </w:p>
          <w:p>
            <w:pPr>
              <w:spacing w:after="20"/>
            </w:pPr>
            <w:r>
              <w:rPr>
                <w:rFonts w:ascii="Consolas" w:cs="Consolas" w:eastAsia="Consolas" w:hAnsi="Consolas"/>
                <w:color w:val="D4D4D4"/>
                <w:sz w:val="18"/>
                <w:szCs w:val="18"/>
              </w:rPr>
              <w:t xml:space="preserve">       ROUND(AVG(debt_to_income_ratio),3) AS avg_dti_ratio</w:t>
            </w:r>
          </w:p>
          <w:p>
            <w:pPr>
              <w:spacing w:after="20"/>
            </w:pPr>
            <w:r>
              <w:rPr>
                <w:rFonts w:ascii="Consolas" w:cs="Consolas" w:eastAsia="Consolas" w:hAnsi="Consolas"/>
                <w:color w:val="D4D4D4"/>
                <w:sz w:val="18"/>
                <w:szCs w:val="18"/>
              </w:rPr>
              <w:t xml:space="preserve">FROM credit_applications GROUP BY income_group ORDER BY income_group;</w:t>
            </w:r>
          </w:p>
        </w:tc>
      </w:tr>
    </w:tbl>
    <w:p>
      <w:pPr>
        <w:spacing w:after="80"/>
      </w:pPr>
    </w:p>
    <w:tbl>
      <w:tblPr>
        <w:tblW w:type="dxa" w:w="106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000"/>
        <w:gridCol w:w="2200"/>
        <w:gridCol w:w="2000"/>
        <w:gridCol w:w="2000"/>
      </w:tblGrid>
      <w:tr>
        <w:trPr>
          <w:tblHeader/>
        </w:trPr>
        <w:tc>
          <w:tcPr>
            <w:tcW w:type="dxa" w:w="2400"/>
            <w:shd w:fill="1F3A5F" w:val="clear"/>
            <w:tcMar>
              <w:top w:type="dxa" w:w="80"/>
              <w:left w:type="dxa" w:w="120"/>
              <w:bottom w:type="dxa" w:w="80"/>
              <w:right w:type="dxa" w:w="120"/>
            </w:tcMar>
          </w:tcPr>
          <w:p>
            <w:r>
              <w:rPr>
                <w:b/>
                <w:bCs/>
                <w:color w:val="FFFFFF"/>
                <w:sz w:val="19"/>
                <w:szCs w:val="19"/>
              </w:rPr>
              <w:t xml:space="preserve">Income group</w:t>
            </w:r>
          </w:p>
        </w:tc>
        <w:tc>
          <w:tcPr>
            <w:tcW w:type="dxa" w:w="2000"/>
            <w:shd w:fill="1F3A5F" w:val="clear"/>
            <w:tcMar>
              <w:top w:type="dxa" w:w="80"/>
              <w:left w:type="dxa" w:w="120"/>
              <w:bottom w:type="dxa" w:w="80"/>
              <w:right w:type="dxa" w:w="120"/>
            </w:tcMar>
          </w:tcPr>
          <w:p>
            <w:r>
              <w:rPr>
                <w:b/>
                <w:bCs/>
                <w:color w:val="FFFFFF"/>
                <w:sz w:val="19"/>
                <w:szCs w:val="19"/>
              </w:rPr>
              <w:t xml:space="preserve">Applicants</w:t>
            </w:r>
          </w:p>
        </w:tc>
        <w:tc>
          <w:tcPr>
            <w:tcW w:type="dxa" w:w="2200"/>
            <w:shd w:fill="1F3A5F" w:val="clear"/>
            <w:tcMar>
              <w:top w:type="dxa" w:w="80"/>
              <w:left w:type="dxa" w:w="120"/>
              <w:bottom w:type="dxa" w:w="80"/>
              <w:right w:type="dxa" w:w="120"/>
            </w:tcMar>
          </w:tcPr>
          <w:p>
            <w:r>
              <w:rPr>
                <w:b/>
                <w:bCs/>
                <w:color w:val="FFFFFF"/>
                <w:sz w:val="19"/>
                <w:szCs w:val="19"/>
              </w:rPr>
              <w:t xml:space="preserve">Avg. loan amount</w:t>
            </w:r>
          </w:p>
        </w:tc>
        <w:tc>
          <w:tcPr>
            <w:tcW w:type="dxa" w:w="2000"/>
            <w:shd w:fill="1F3A5F" w:val="clear"/>
            <w:tcMar>
              <w:top w:type="dxa" w:w="80"/>
              <w:left w:type="dxa" w:w="120"/>
              <w:bottom w:type="dxa" w:w="80"/>
              <w:right w:type="dxa" w:w="120"/>
            </w:tcMar>
          </w:tcPr>
          <w:p>
            <w:r>
              <w:rPr>
                <w:b/>
                <w:bCs/>
                <w:color w:val="FFFFFF"/>
                <w:sz w:val="19"/>
                <w:szCs w:val="19"/>
              </w:rPr>
              <w:t xml:space="preserve">Avg. income</w:t>
            </w:r>
          </w:p>
        </w:tc>
        <w:tc>
          <w:tcPr>
            <w:tcW w:type="dxa" w:w="2000"/>
            <w:shd w:fill="1F3A5F" w:val="clear"/>
            <w:tcMar>
              <w:top w:type="dxa" w:w="80"/>
              <w:left w:type="dxa" w:w="120"/>
              <w:bottom w:type="dxa" w:w="80"/>
              <w:right w:type="dxa" w:w="120"/>
            </w:tcMar>
          </w:tcPr>
          <w:p>
            <w:r>
              <w:rPr>
                <w:b/>
                <w:bCs/>
                <w:color w:val="FFFFFF"/>
                <w:sz w:val="19"/>
                <w:szCs w:val="19"/>
              </w:rPr>
              <w:t xml:space="preserve">Avg. DTI ratio</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&lt;30K</w:t>
            </w:r>
          </w:p>
        </w:tc>
        <w:tc>
          <w:tcPr>
            <w:tcW w:type="dxa" w:w="2000"/>
            <w:shd w:fill="FFFFFF" w:val="clear"/>
            <w:tcMar>
              <w:top w:type="dxa" w:w="80"/>
              <w:left w:type="dxa" w:w="120"/>
              <w:bottom w:type="dxa" w:w="80"/>
              <w:right w:type="dxa" w:w="120"/>
            </w:tcMar>
          </w:tcPr>
          <w:p>
            <w:r>
              <w:rPr>
                <w:b w:val="false"/>
                <w:bCs w:val="false"/>
                <w:color w:val="222222"/>
                <w:sz w:val="19"/>
                <w:szCs w:val="19"/>
              </w:rPr>
              <w:t xml:space="preserve">2,907</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$25,604</w:t>
            </w:r>
          </w:p>
        </w:tc>
        <w:tc>
          <w:tcPr>
            <w:tcW w:type="dxa" w:w="2000"/>
            <w:shd w:fill="FFFFFF" w:val="clear"/>
            <w:tcMar>
              <w:top w:type="dxa" w:w="80"/>
              <w:left w:type="dxa" w:w="120"/>
              <w:bottom w:type="dxa" w:w="80"/>
              <w:right w:type="dxa" w:w="120"/>
            </w:tcMar>
          </w:tcPr>
          <w:p>
            <w:r>
              <w:rPr>
                <w:b w:val="false"/>
                <w:bCs w:val="false"/>
                <w:color w:val="222222"/>
                <w:sz w:val="19"/>
                <w:szCs w:val="19"/>
              </w:rPr>
              <w:t xml:space="preserve">$22,519</w:t>
            </w:r>
          </w:p>
        </w:tc>
        <w:tc>
          <w:tcPr>
            <w:tcW w:type="dxa" w:w="2000"/>
            <w:shd w:fill="FFFFFF" w:val="clear"/>
            <w:tcMar>
              <w:top w:type="dxa" w:w="80"/>
              <w:left w:type="dxa" w:w="120"/>
              <w:bottom w:type="dxa" w:w="80"/>
              <w:right w:type="dxa" w:w="120"/>
            </w:tcMar>
          </w:tcPr>
          <w:p>
            <w:r>
              <w:rPr>
                <w:b w:val="false"/>
                <w:bCs w:val="false"/>
                <w:color w:val="222222"/>
                <w:sz w:val="19"/>
                <w:szCs w:val="19"/>
              </w:rPr>
              <w:t xml:space="preserve">1.510</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30K-60K</w:t>
            </w:r>
          </w:p>
        </w:tc>
        <w:tc>
          <w:tcPr>
            <w:tcW w:type="dxa" w:w="2000"/>
            <w:shd w:fill="FFFFFF" w:val="clear"/>
            <w:tcMar>
              <w:top w:type="dxa" w:w="80"/>
              <w:left w:type="dxa" w:w="120"/>
              <w:bottom w:type="dxa" w:w="80"/>
              <w:right w:type="dxa" w:w="120"/>
            </w:tcMar>
          </w:tcPr>
          <w:p>
            <w:r>
              <w:rPr>
                <w:b w:val="false"/>
                <w:bCs w:val="false"/>
                <w:color w:val="222222"/>
                <w:sz w:val="19"/>
                <w:szCs w:val="19"/>
              </w:rPr>
              <w:t xml:space="preserve">5,743</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$25,294</w:t>
            </w:r>
          </w:p>
        </w:tc>
        <w:tc>
          <w:tcPr>
            <w:tcW w:type="dxa" w:w="2000"/>
            <w:shd w:fill="FFFFFF" w:val="clear"/>
            <w:tcMar>
              <w:top w:type="dxa" w:w="80"/>
              <w:left w:type="dxa" w:w="120"/>
              <w:bottom w:type="dxa" w:w="80"/>
              <w:right w:type="dxa" w:w="120"/>
            </w:tcMar>
          </w:tcPr>
          <w:p>
            <w:r>
              <w:rPr>
                <w:b w:val="false"/>
                <w:bCs w:val="false"/>
                <w:color w:val="222222"/>
                <w:sz w:val="19"/>
                <w:szCs w:val="19"/>
              </w:rPr>
              <w:t xml:space="preserve">$45,067</w:t>
            </w:r>
          </w:p>
        </w:tc>
        <w:tc>
          <w:tcPr>
            <w:tcW w:type="dxa" w:w="2000"/>
            <w:shd w:fill="FFFFFF" w:val="clear"/>
            <w:tcMar>
              <w:top w:type="dxa" w:w="80"/>
              <w:left w:type="dxa" w:w="120"/>
              <w:bottom w:type="dxa" w:w="80"/>
              <w:right w:type="dxa" w:w="120"/>
            </w:tcMar>
          </w:tcPr>
          <w:p>
            <w:r>
              <w:rPr>
                <w:b w:val="false"/>
                <w:bCs w:val="false"/>
                <w:color w:val="222222"/>
                <w:sz w:val="19"/>
                <w:szCs w:val="19"/>
              </w:rPr>
              <w:t xml:space="preserve">0.762</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60K-90K</w:t>
            </w:r>
          </w:p>
        </w:tc>
        <w:tc>
          <w:tcPr>
            <w:tcW w:type="dxa" w:w="2000"/>
            <w:shd w:fill="FFFFFF" w:val="clear"/>
            <w:tcMar>
              <w:top w:type="dxa" w:w="80"/>
              <w:left w:type="dxa" w:w="120"/>
              <w:bottom w:type="dxa" w:w="80"/>
              <w:right w:type="dxa" w:w="120"/>
            </w:tcMar>
          </w:tcPr>
          <w:p>
            <w:r>
              <w:rPr>
                <w:b w:val="false"/>
                <w:bCs w:val="false"/>
                <w:color w:val="222222"/>
                <w:sz w:val="19"/>
                <w:szCs w:val="19"/>
              </w:rPr>
              <w:t xml:space="preserve">5,649</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$25,500</w:t>
            </w:r>
          </w:p>
        </w:tc>
        <w:tc>
          <w:tcPr>
            <w:tcW w:type="dxa" w:w="2000"/>
            <w:shd w:fill="FFFFFF" w:val="clear"/>
            <w:tcMar>
              <w:top w:type="dxa" w:w="80"/>
              <w:left w:type="dxa" w:w="120"/>
              <w:bottom w:type="dxa" w:w="80"/>
              <w:right w:type="dxa" w:w="120"/>
            </w:tcMar>
          </w:tcPr>
          <w:p>
            <w:r>
              <w:rPr>
                <w:b w:val="false"/>
                <w:bCs w:val="false"/>
                <w:color w:val="222222"/>
                <w:sz w:val="19"/>
                <w:szCs w:val="19"/>
              </w:rPr>
              <w:t xml:space="preserve">$74,989</w:t>
            </w:r>
          </w:p>
        </w:tc>
        <w:tc>
          <w:tcPr>
            <w:tcW w:type="dxa" w:w="2000"/>
            <w:shd w:fill="FFFFFF" w:val="clear"/>
            <w:tcMar>
              <w:top w:type="dxa" w:w="80"/>
              <w:left w:type="dxa" w:w="120"/>
              <w:bottom w:type="dxa" w:w="80"/>
              <w:right w:type="dxa" w:w="120"/>
            </w:tcMar>
          </w:tcPr>
          <w:p>
            <w:r>
              <w:rPr>
                <w:b w:val="false"/>
                <w:bCs w:val="false"/>
                <w:color w:val="222222"/>
                <w:sz w:val="19"/>
                <w:szCs w:val="19"/>
              </w:rPr>
              <w:t xml:space="preserve">0.450</w:t>
            </w:r>
          </w:p>
        </w:tc>
      </w:tr>
      <w:tr>
        <w:tc>
          <w:tcPr>
            <w:tcW w:type="dxa" w:w="2400"/>
            <w:shd w:fill="FFFFFF" w:val="clear"/>
            <w:tcMar>
              <w:top w:type="dxa" w:w="80"/>
              <w:left w:type="dxa" w:w="120"/>
              <w:bottom w:type="dxa" w:w="80"/>
              <w:right w:type="dxa" w:w="120"/>
            </w:tcMar>
          </w:tcPr>
          <w:p>
            <w:r>
              <w:rPr>
                <w:b w:val="false"/>
                <w:bCs w:val="false"/>
                <w:color w:val="222222"/>
                <w:sz w:val="19"/>
                <w:szCs w:val="19"/>
              </w:rPr>
              <w:t xml:space="preserve">90K+</w:t>
            </w:r>
          </w:p>
        </w:tc>
        <w:tc>
          <w:tcPr>
            <w:tcW w:type="dxa" w:w="2000"/>
            <w:shd w:fill="FFFFFF" w:val="clear"/>
            <w:tcMar>
              <w:top w:type="dxa" w:w="80"/>
              <w:left w:type="dxa" w:w="120"/>
              <w:bottom w:type="dxa" w:w="80"/>
              <w:right w:type="dxa" w:w="120"/>
            </w:tcMar>
          </w:tcPr>
          <w:p>
            <w:r>
              <w:rPr>
                <w:b w:val="false"/>
                <w:bCs w:val="false"/>
                <w:color w:val="222222"/>
                <w:sz w:val="19"/>
                <w:szCs w:val="19"/>
              </w:rPr>
              <w:t xml:space="preserve">5,701</w:t>
            </w:r>
          </w:p>
        </w:tc>
        <w:tc>
          <w:tcPr>
            <w:tcW w:type="dxa" w:w="2200"/>
            <w:shd w:fill="FFFFFF" w:val="clear"/>
            <w:tcMar>
              <w:top w:type="dxa" w:w="80"/>
              <w:left w:type="dxa" w:w="120"/>
              <w:bottom w:type="dxa" w:w="80"/>
              <w:right w:type="dxa" w:w="120"/>
            </w:tcMar>
          </w:tcPr>
          <w:p>
            <w:r>
              <w:rPr>
                <w:b w:val="false"/>
                <w:bCs w:val="false"/>
                <w:color w:val="222222"/>
                <w:sz w:val="19"/>
                <w:szCs w:val="19"/>
              </w:rPr>
              <w:t xml:space="preserve">$25,603</w:t>
            </w:r>
          </w:p>
        </w:tc>
        <w:tc>
          <w:tcPr>
            <w:tcW w:type="dxa" w:w="2000"/>
            <w:shd w:fill="FFFFFF" w:val="clear"/>
            <w:tcMar>
              <w:top w:type="dxa" w:w="80"/>
              <w:left w:type="dxa" w:w="120"/>
              <w:bottom w:type="dxa" w:w="80"/>
              <w:right w:type="dxa" w:w="120"/>
            </w:tcMar>
          </w:tcPr>
          <w:p>
            <w:r>
              <w:rPr>
                <w:b w:val="false"/>
                <w:bCs w:val="false"/>
                <w:color w:val="222222"/>
                <w:sz w:val="19"/>
                <w:szCs w:val="19"/>
              </w:rPr>
              <w:t xml:space="preserve">$104,933</w:t>
            </w:r>
          </w:p>
        </w:tc>
        <w:tc>
          <w:tcPr>
            <w:tcW w:type="dxa" w:w="2000"/>
            <w:shd w:fill="FFFFFF" w:val="clear"/>
            <w:tcMar>
              <w:top w:type="dxa" w:w="80"/>
              <w:left w:type="dxa" w:w="120"/>
              <w:bottom w:type="dxa" w:w="80"/>
              <w:right w:type="dxa" w:w="120"/>
            </w:tcMar>
          </w:tcPr>
          <w:p>
            <w:r>
              <w:rPr>
                <w:b w:val="false"/>
                <w:bCs w:val="false"/>
                <w:color w:val="222222"/>
                <w:sz w:val="19"/>
                <w:szCs w:val="19"/>
              </w:rPr>
              <w:t xml:space="preserve">0.312</w:t>
            </w:r>
          </w:p>
        </w:tc>
      </w:tr>
    </w:tbl>
    <w:p>
      <w:pPr>
        <w:spacing w:after="120"/>
      </w:pPr>
    </w:p>
    <w:p>
      <w:pPr>
        <w:spacing w:after="160" w:line="276"/>
      </w:pPr>
      <w:r>
        <w:rPr>
          <w:color w:val="222222"/>
          <w:sz w:val="21"/>
          <w:szCs w:val="21"/>
        </w:rPr>
        <w:t xml:space="preserve">Average loan size is essentially flat at ~$25,300–$25,600 across every income group — applicants are not requesting larger loans as their income rises. Because loan size doesn't scale with income, the debt-to-income ratio falls sharply as income rises (1.51 in the &lt;$30K group down to 0.31 in the $90K+ group), which is the expected mechanical result of dividing a roughly constant expense figure by a rising income denominator.</w:t>
      </w:r>
    </w:p>
    <w:p>
      <w:r>
        <w:br w:type="page"/>
      </w:r>
    </w:p>
    <w:p>
      <w:pPr>
        <w:pStyle w:val="Heading1"/>
        <w:pBdr>
          <w:bottom w:val="single" w:color="1F3A5F" w:sz="6" w:space="4"/>
        </w:pBdr>
        <w:spacing w:after="160" w:before="320"/>
      </w:pPr>
      <w:r>
        <w:rPr>
          <w:b/>
          <w:bCs/>
          <w:color w:val="1F3A5F"/>
          <w:sz w:val="30"/>
          <w:szCs w:val="30"/>
        </w:rPr>
        <w:t xml:space="preserve">5. Phase 3 — BI Dashboard</w:t>
      </w:r>
    </w:p>
    <w:p>
      <w:pPr>
        <w:spacing w:after="160" w:line="276"/>
      </w:pPr>
      <w:r>
        <w:rPr>
          <w:color w:val="222222"/>
          <w:sz w:val="21"/>
          <w:szCs w:val="21"/>
        </w:rPr>
        <w:t xml:space="preserve">An interactive dashboard (dashboard.html, delivered alongside this report) covers every visual the brief calls for, with the three requested filters wired to every chart and KPI live in the browser — no Tableau/Power BI licence required to view it. The static equivalents below are captured from the same cleaned dataset for the record; the live file is the primary deliverable for this phase.</w:t>
      </w:r>
    </w:p>
    <w:p>
      <w:pPr>
        <w:pStyle w:val="Heading2"/>
        <w:spacing w:after="120" w:before="260"/>
      </w:pPr>
      <w:r>
        <w:rPr>
          <w:b/>
          <w:bCs/>
          <w:color w:val="1F3A5F"/>
          <w:sz w:val="24"/>
          <w:szCs w:val="24"/>
        </w:rPr>
        <w:t xml:space="preserve">5.1 KPI summary</w:t>
      </w:r>
    </w:p>
    <w:tbl>
      <w:tblPr>
        <w:tblW w:type="dxa" w:w="9500"/>
        <w:tblBorders>
          <w:top w:val="single" w:color="CCCCCC" w:sz="4"/>
          <w:left w:val="single" w:color="CCCCCC" w:sz="4"/>
          <w:bottom w:val="single" w:color="CCCCCC" w:sz="4"/>
          <w:right w:val="single" w:color="CCCCCC" w:sz="4"/>
          <w:insideH w:val="single" w:color="CCCCCC" w:sz="4"/>
          <w:insideV w:val="single" w:color="CCCCCC" w:sz="4"/>
        </w:tblBorders>
      </w:tblPr>
      <w:tblGrid>
        <w:gridCol w:w="4700"/>
        <w:gridCol w:w="4800"/>
      </w:tblGrid>
      <w:tr>
        <w:trPr>
          <w:tblHeader/>
        </w:trPr>
        <w:tc>
          <w:tcPr>
            <w:tcW w:type="dxa" w:w="4700"/>
            <w:shd w:fill="1F3A5F" w:val="clear"/>
            <w:tcMar>
              <w:top w:type="dxa" w:w="80"/>
              <w:left w:type="dxa" w:w="120"/>
              <w:bottom w:type="dxa" w:w="80"/>
              <w:right w:type="dxa" w:w="120"/>
            </w:tcMar>
          </w:tcPr>
          <w:p>
            <w:r>
              <w:rPr>
                <w:b/>
                <w:bCs/>
                <w:color w:val="FFFFFF"/>
                <w:sz w:val="19"/>
                <w:szCs w:val="19"/>
              </w:rPr>
              <w:t xml:space="preserve">KPI</w:t>
            </w:r>
          </w:p>
        </w:tc>
        <w:tc>
          <w:tcPr>
            <w:tcW w:type="dxa" w:w="4800"/>
            <w:shd w:fill="1F3A5F" w:val="clear"/>
            <w:tcMar>
              <w:top w:type="dxa" w:w="80"/>
              <w:left w:type="dxa" w:w="120"/>
              <w:bottom w:type="dxa" w:w="80"/>
              <w:right w:type="dxa" w:w="120"/>
            </w:tcMar>
          </w:tcPr>
          <w:p>
            <w:r>
              <w:rPr>
                <w:b/>
                <w:bCs/>
                <w:color w:val="FFFFFF"/>
                <w:sz w:val="19"/>
                <w:szCs w:val="19"/>
              </w:rPr>
              <w:t xml:space="preserve">Value</w:t>
            </w:r>
          </w:p>
        </w:tc>
      </w:tr>
      <w:tr>
        <w:tc>
          <w:tcPr>
            <w:tcW w:type="dxa" w:w="4700"/>
            <w:shd w:fill="FFFFFF" w:val="clear"/>
            <w:tcMar>
              <w:top w:type="dxa" w:w="80"/>
              <w:left w:type="dxa" w:w="120"/>
              <w:bottom w:type="dxa" w:w="80"/>
              <w:right w:type="dxa" w:w="120"/>
            </w:tcMar>
          </w:tcPr>
          <w:p>
            <w:r>
              <w:rPr>
                <w:b w:val="false"/>
                <w:bCs w:val="false"/>
                <w:color w:val="222222"/>
                <w:sz w:val="19"/>
                <w:szCs w:val="19"/>
              </w:rPr>
              <w:t xml:space="preserve">Average credit score</w:t>
            </w:r>
          </w:p>
        </w:tc>
        <w:tc>
          <w:tcPr>
            <w:tcW w:type="dxa" w:w="4800"/>
            <w:shd w:fill="FFFFFF" w:val="clear"/>
            <w:tcMar>
              <w:top w:type="dxa" w:w="80"/>
              <w:left w:type="dxa" w:w="120"/>
              <w:bottom w:type="dxa" w:w="80"/>
              <w:right w:type="dxa" w:w="120"/>
            </w:tcMar>
          </w:tcPr>
          <w:p>
            <w:r>
              <w:rPr>
                <w:b w:val="false"/>
                <w:bCs w:val="false"/>
                <w:color w:val="222222"/>
                <w:sz w:val="19"/>
                <w:szCs w:val="19"/>
              </w:rPr>
              <w:t xml:space="preserve">574.5</w:t>
            </w:r>
          </w:p>
        </w:tc>
      </w:tr>
      <w:tr>
        <w:tc>
          <w:tcPr>
            <w:tcW w:type="dxa" w:w="4700"/>
            <w:shd w:fill="FFFFFF" w:val="clear"/>
            <w:tcMar>
              <w:top w:type="dxa" w:w="80"/>
              <w:left w:type="dxa" w:w="120"/>
              <w:bottom w:type="dxa" w:w="80"/>
              <w:right w:type="dxa" w:w="120"/>
            </w:tcMar>
          </w:tcPr>
          <w:p>
            <w:r>
              <w:rPr>
                <w:b w:val="false"/>
                <w:bCs w:val="false"/>
                <w:color w:val="222222"/>
                <w:sz w:val="19"/>
                <w:szCs w:val="19"/>
              </w:rPr>
              <w:t xml:space="preserve">Default rate</w:t>
            </w:r>
          </w:p>
        </w:tc>
        <w:tc>
          <w:tcPr>
            <w:tcW w:type="dxa" w:w="4800"/>
            <w:shd w:fill="FFFFFF" w:val="clear"/>
            <w:tcMar>
              <w:top w:type="dxa" w:w="80"/>
              <w:left w:type="dxa" w:w="120"/>
              <w:bottom w:type="dxa" w:w="80"/>
              <w:right w:type="dxa" w:w="120"/>
            </w:tcMar>
          </w:tcPr>
          <w:p>
            <w:r>
              <w:rPr>
                <w:b w:val="false"/>
                <w:bCs w:val="false"/>
                <w:color w:val="222222"/>
                <w:sz w:val="19"/>
                <w:szCs w:val="19"/>
              </w:rPr>
              <w:t xml:space="preserve">10.17% (2,033 / 20,000)</w:t>
            </w:r>
          </w:p>
        </w:tc>
      </w:tr>
      <w:tr>
        <w:tc>
          <w:tcPr>
            <w:tcW w:type="dxa" w:w="4700"/>
            <w:shd w:fill="FFFFFF" w:val="clear"/>
            <w:tcMar>
              <w:top w:type="dxa" w:w="80"/>
              <w:left w:type="dxa" w:w="120"/>
              <w:bottom w:type="dxa" w:w="80"/>
              <w:right w:type="dxa" w:w="120"/>
            </w:tcMar>
          </w:tcPr>
          <w:p>
            <w:r>
              <w:rPr>
                <w:b w:val="false"/>
                <w:bCs w:val="false"/>
                <w:color w:val="222222"/>
                <w:sz w:val="19"/>
                <w:szCs w:val="19"/>
              </w:rPr>
              <w:t xml:space="preserve">Approved loans</w:t>
            </w:r>
          </w:p>
        </w:tc>
        <w:tc>
          <w:tcPr>
            <w:tcW w:type="dxa" w:w="4800"/>
            <w:shd w:fill="FFFFFF" w:val="clear"/>
            <w:tcMar>
              <w:top w:type="dxa" w:w="80"/>
              <w:left w:type="dxa" w:w="120"/>
              <w:bottom w:type="dxa" w:w="80"/>
              <w:right w:type="dxa" w:w="120"/>
            </w:tcMar>
          </w:tcPr>
          <w:p>
            <w:r>
              <w:rPr>
                <w:b w:val="false"/>
                <w:bCs w:val="false"/>
                <w:color w:val="222222"/>
                <w:sz w:val="19"/>
                <w:szCs w:val="19"/>
              </w:rPr>
              <w:t xml:space="preserve">6,780 / 20,000 (33.9%)</w:t>
            </w:r>
          </w:p>
        </w:tc>
      </w:tr>
    </w:tbl>
    <w:p>
      <w:pPr>
        <w:spacing w:after="120"/>
      </w:pPr>
    </w:p>
    <w:p>
      <w:pPr>
        <w:pStyle w:val="Heading2"/>
        <w:spacing w:after="120" w:before="260"/>
      </w:pPr>
      <w:r>
        <w:rPr>
          <w:b/>
          <w:bCs/>
          <w:color w:val="1F3A5F"/>
          <w:sz w:val="24"/>
          <w:szCs w:val="24"/>
        </w:rPr>
        <w:t xml:space="preserve">5.2 Income vs. credit score</w:t>
      </w:r>
    </w:p>
    <w:p>
      <w:pPr>
        <w:spacing w:before="120"/>
        <w:jc w:val="center"/>
      </w:pPr>
      <w:r>
        <w:drawing>
          <wp:inline distT="0" distB="0" distL="0" distR="0">
            <wp:extent cx="5905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71900"/>
                    </a:xfrm>
                    <a:prstGeom prst="rect">
                      <a:avLst/>
                    </a:prstGeom>
                  </pic:spPr>
                </pic:pic>
              </a:graphicData>
            </a:graphic>
          </wp:inline>
        </w:drawing>
      </w:r>
    </w:p>
    <w:p>
      <w:pPr>
        <w:spacing w:after="220" w:before="60"/>
        <w:jc w:val="center"/>
      </w:pPr>
      <w:r>
        <w:rPr>
          <w:i/>
          <w:iCs/>
          <w:color w:val="666666"/>
          <w:sz w:val="18"/>
          <w:szCs w:val="18"/>
        </w:rPr>
        <w:t xml:space="preserve">Scatter of income vs. credit score, coloured by risk tier (3,000-point sample).</w:t>
      </w:r>
    </w:p>
    <w:p>
      <w:pPr>
        <w:spacing w:after="160" w:line="276"/>
      </w:pPr>
      <w:r>
        <w:rPr>
          <w:color w:val="222222"/>
          <w:sz w:val="21"/>
          <w:szCs w:val="21"/>
        </w:rPr>
        <w:t xml:space="preserve">Points spread evenly across the full income/score plane with no visible clustering by tier along the income axis — consistent with the two variables being generated independently.</w:t>
      </w:r>
    </w:p>
    <w:p>
      <w:pPr>
        <w:pStyle w:val="Heading2"/>
        <w:spacing w:after="120" w:before="260"/>
      </w:pPr>
      <w:r>
        <w:rPr>
          <w:b/>
          <w:bCs/>
          <w:color w:val="1F3A5F"/>
          <w:sz w:val="24"/>
          <w:szCs w:val="24"/>
        </w:rPr>
        <w:t xml:space="preserve">5.3 Loan purposes &amp; employment mix</w:t>
      </w:r>
    </w:p>
    <w:p>
      <w:pPr>
        <w:spacing w:before="12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76600"/>
                    </a:xfrm>
                    <a:prstGeom prst="rect">
                      <a:avLst/>
                    </a:prstGeom>
                  </pic:spPr>
                </pic:pic>
              </a:graphicData>
            </a:graphic>
          </wp:inline>
        </w:drawing>
      </w:r>
    </w:p>
    <w:p>
      <w:pPr>
        <w:spacing w:after="220" w:before="60"/>
        <w:jc w:val="center"/>
      </w:pPr>
      <w:r>
        <w:rPr>
          <w:i/>
          <w:iCs/>
          <w:color w:val="666666"/>
          <w:sz w:val="18"/>
          <w:szCs w:val="18"/>
        </w:rPr>
        <w:t xml:space="preserve">Loan purpose demand (bar).</w:t>
      </w:r>
    </w:p>
    <w:p>
      <w:pPr>
        <w:spacing w:before="120"/>
        <w:jc w:val="center"/>
      </w:pPr>
      <w:r>
        <w:drawing>
          <wp:inline distT="0" distB="0" distL="0" distR="0">
            <wp:extent cx="42862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3895725"/>
                    </a:xfrm>
                    <a:prstGeom prst="rect">
                      <a:avLst/>
                    </a:prstGeom>
                  </pic:spPr>
                </pic:pic>
              </a:graphicData>
            </a:graphic>
          </wp:inline>
        </w:drawing>
      </w:r>
    </w:p>
    <w:p>
      <w:pPr>
        <w:spacing w:after="220" w:before="60"/>
        <w:jc w:val="center"/>
      </w:pPr>
      <w:r>
        <w:rPr>
          <w:i/>
          <w:iCs/>
          <w:color w:val="666666"/>
          <w:sz w:val="18"/>
          <w:szCs w:val="18"/>
        </w:rPr>
        <w:t xml:space="preserve">Employment status mix (pie) — 33.6% Unemployed, 33.5% Employed, 33.0% Self-employed.</w:t>
      </w:r>
    </w:p>
    <w:p>
      <w:pPr>
        <w:spacing w:after="120"/>
      </w:pPr>
    </w:p>
    <w:p>
      <w:pPr>
        <w:pStyle w:val="Heading2"/>
        <w:spacing w:after="120" w:before="260"/>
      </w:pPr>
      <w:r>
        <w:rPr>
          <w:b/>
          <w:bCs/>
          <w:color w:val="1F3A5F"/>
          <w:sz w:val="24"/>
          <w:szCs w:val="24"/>
        </w:rPr>
        <w:t xml:space="preserve">5.4 Rebuilding the same views in Tableau / Power BI</w:t>
      </w:r>
    </w:p>
    <w:p>
      <w:pPr>
        <w:spacing w:after="160" w:line="276"/>
      </w:pPr>
      <w:r>
        <w:rPr>
          <w:color w:val="222222"/>
          <w:sz w:val="21"/>
          <w:szCs w:val="21"/>
        </w:rPr>
        <w:t xml:space="preserve">cleaned_credit_data.csv already contains every field needed — connect it directly and map:</w:t>
      </w:r>
    </w:p>
    <w:tbl>
      <w:tblPr>
        <w:tblW w:type="dxa" w:w="95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3300"/>
        <w:gridCol w:w="1700"/>
        <w:gridCol w:w="2300"/>
      </w:tblGrid>
      <w:tr>
        <w:trPr>
          <w:tblHeader/>
        </w:trPr>
        <w:tc>
          <w:tcPr>
            <w:tcW w:type="dxa" w:w="2200"/>
            <w:shd w:fill="1F3A5F" w:val="clear"/>
            <w:tcMar>
              <w:top w:type="dxa" w:w="80"/>
              <w:left w:type="dxa" w:w="120"/>
              <w:bottom w:type="dxa" w:w="80"/>
              <w:right w:type="dxa" w:w="120"/>
            </w:tcMar>
          </w:tcPr>
          <w:p>
            <w:r>
              <w:rPr>
                <w:b/>
                <w:bCs/>
                <w:color w:val="FFFFFF"/>
                <w:sz w:val="19"/>
                <w:szCs w:val="19"/>
              </w:rPr>
              <w:t xml:space="preserve">Visual</w:t>
            </w:r>
          </w:p>
        </w:tc>
        <w:tc>
          <w:tcPr>
            <w:tcW w:type="dxa" w:w="3300"/>
            <w:shd w:fill="1F3A5F" w:val="clear"/>
            <w:tcMar>
              <w:top w:type="dxa" w:w="80"/>
              <w:left w:type="dxa" w:w="120"/>
              <w:bottom w:type="dxa" w:w="80"/>
              <w:right w:type="dxa" w:w="120"/>
            </w:tcMar>
          </w:tcPr>
          <w:p>
            <w:r>
              <w:rPr>
                <w:b/>
                <w:bCs/>
                <w:color w:val="FFFFFF"/>
                <w:sz w:val="19"/>
                <w:szCs w:val="19"/>
              </w:rPr>
              <w:t xml:space="preserve">Fields</w:t>
            </w:r>
          </w:p>
        </w:tc>
        <w:tc>
          <w:tcPr>
            <w:tcW w:type="dxa" w:w="1700"/>
            <w:shd w:fill="1F3A5F" w:val="clear"/>
            <w:tcMar>
              <w:top w:type="dxa" w:w="80"/>
              <w:left w:type="dxa" w:w="120"/>
              <w:bottom w:type="dxa" w:w="80"/>
              <w:right w:type="dxa" w:w="120"/>
            </w:tcMar>
          </w:tcPr>
          <w:p>
            <w:r>
              <w:rPr>
                <w:b/>
                <w:bCs/>
                <w:color w:val="FFFFFF"/>
                <w:sz w:val="19"/>
                <w:szCs w:val="19"/>
              </w:rPr>
              <w:t xml:space="preserve">Chart type</w:t>
            </w:r>
          </w:p>
        </w:tc>
        <w:tc>
          <w:tcPr>
            <w:tcW w:type="dxa" w:w="2300"/>
            <w:shd w:fill="1F3A5F" w:val="clear"/>
            <w:tcMar>
              <w:top w:type="dxa" w:w="80"/>
              <w:left w:type="dxa" w:w="120"/>
              <w:bottom w:type="dxa" w:w="80"/>
              <w:right w:type="dxa" w:w="120"/>
            </w:tcMar>
          </w:tcPr>
          <w:p>
            <w:r>
              <w:rPr>
                <w:b/>
                <w:bCs/>
                <w:color w:val="FFFFFF"/>
                <w:sz w:val="19"/>
                <w:szCs w:val="19"/>
              </w:rPr>
              <w:t xml:space="preserve">Notes</w:t>
            </w:r>
          </w:p>
        </w:tc>
      </w:tr>
      <w:tr>
        <w:tc>
          <w:tcPr>
            <w:tcW w:type="dxa" w:w="2200"/>
            <w:shd w:fill="FFFFFF" w:val="clear"/>
            <w:tcMar>
              <w:top w:type="dxa" w:w="80"/>
              <w:left w:type="dxa" w:w="120"/>
              <w:bottom w:type="dxa" w:w="80"/>
              <w:right w:type="dxa" w:w="120"/>
            </w:tcMar>
          </w:tcPr>
          <w:p>
            <w:r>
              <w:rPr>
                <w:b w:val="false"/>
                <w:bCs w:val="false"/>
                <w:color w:val="222222"/>
                <w:sz w:val="19"/>
                <w:szCs w:val="19"/>
              </w:rPr>
              <w:t xml:space="preserve">KPI cards</w:t>
            </w:r>
          </w:p>
        </w:tc>
        <w:tc>
          <w:tcPr>
            <w:tcW w:type="dxa" w:w="3300"/>
            <w:shd w:fill="FFFFFF" w:val="clear"/>
            <w:tcMar>
              <w:top w:type="dxa" w:w="80"/>
              <w:left w:type="dxa" w:w="120"/>
              <w:bottom w:type="dxa" w:w="80"/>
              <w:right w:type="dxa" w:w="120"/>
            </w:tcMar>
          </w:tcPr>
          <w:p>
            <w:r>
              <w:rPr>
                <w:b w:val="false"/>
                <w:bCs w:val="false"/>
                <w:color w:val="222222"/>
                <w:sz w:val="19"/>
                <w:szCs w:val="19"/>
              </w:rPr>
              <w:t xml:space="preserve">credit_score (avg), defaulted_before (avg ×100), approval_status (count where = Approved)</w:t>
            </w:r>
          </w:p>
        </w:tc>
        <w:tc>
          <w:tcPr>
            <w:tcW w:type="dxa" w:w="1700"/>
            <w:shd w:fill="FFFFFF" w:val="clear"/>
            <w:tcMar>
              <w:top w:type="dxa" w:w="80"/>
              <w:left w:type="dxa" w:w="120"/>
              <w:bottom w:type="dxa" w:w="80"/>
              <w:right w:type="dxa" w:w="120"/>
            </w:tcMar>
          </w:tcPr>
          <w:p>
            <w:r>
              <w:rPr>
                <w:b w:val="false"/>
                <w:bCs w:val="false"/>
                <w:color w:val="222222"/>
                <w:sz w:val="19"/>
                <w:szCs w:val="19"/>
              </w:rPr>
              <w:t xml:space="preserve">Card / BAN</w:t>
            </w:r>
          </w:p>
        </w:tc>
        <w:tc>
          <w:tcPr>
            <w:tcW w:type="dxa" w:w="2300"/>
            <w:shd w:fill="FFFFFF" w:val="clear"/>
            <w:tcMar>
              <w:top w:type="dxa" w:w="80"/>
              <w:left w:type="dxa" w:w="120"/>
              <w:bottom w:type="dxa" w:w="80"/>
              <w:right w:type="dxa" w:w="120"/>
            </w:tcMar>
          </w:tcPr>
          <w:p>
            <w:r>
              <w:rPr>
                <w:b w:val="false"/>
                <w:bCs w:val="false"/>
                <w:color w:val="222222"/>
                <w:sz w:val="19"/>
                <w:szCs w:val="19"/>
              </w:rPr>
              <w:t xml:space="preserve">Power BI: Card visual. Tableau: single-value worksheets pinned to a dashboard</w:t>
            </w:r>
          </w:p>
        </w:tc>
      </w:tr>
      <w:tr>
        <w:tc>
          <w:tcPr>
            <w:tcW w:type="dxa" w:w="2200"/>
            <w:shd w:fill="FFFFFF" w:val="clear"/>
            <w:tcMar>
              <w:top w:type="dxa" w:w="80"/>
              <w:left w:type="dxa" w:w="120"/>
              <w:bottom w:type="dxa" w:w="80"/>
              <w:right w:type="dxa" w:w="120"/>
            </w:tcMar>
          </w:tcPr>
          <w:p>
            <w:r>
              <w:rPr>
                <w:b w:val="false"/>
                <w:bCs w:val="false"/>
                <w:color w:val="222222"/>
                <w:sz w:val="19"/>
                <w:szCs w:val="19"/>
              </w:rPr>
              <w:t xml:space="preserve">Income vs credit score</w:t>
            </w:r>
          </w:p>
        </w:tc>
        <w:tc>
          <w:tcPr>
            <w:tcW w:type="dxa" w:w="3300"/>
            <w:shd w:fill="FFFFFF" w:val="clear"/>
            <w:tcMar>
              <w:top w:type="dxa" w:w="80"/>
              <w:left w:type="dxa" w:w="120"/>
              <w:bottom w:type="dxa" w:w="80"/>
              <w:right w:type="dxa" w:w="120"/>
            </w:tcMar>
          </w:tcPr>
          <w:p>
            <w:r>
              <w:rPr>
                <w:b w:val="false"/>
                <w:bCs w:val="false"/>
                <w:color w:val="222222"/>
                <w:sz w:val="19"/>
                <w:szCs w:val="19"/>
              </w:rPr>
              <w:t xml:space="preserve">annual_income (x), credit_score (y), credit_risk_tier (colour)</w:t>
            </w:r>
          </w:p>
        </w:tc>
        <w:tc>
          <w:tcPr>
            <w:tcW w:type="dxa" w:w="1700"/>
            <w:shd w:fill="FFFFFF" w:val="clear"/>
            <w:tcMar>
              <w:top w:type="dxa" w:w="80"/>
              <w:left w:type="dxa" w:w="120"/>
              <w:bottom w:type="dxa" w:w="80"/>
              <w:right w:type="dxa" w:w="120"/>
            </w:tcMar>
          </w:tcPr>
          <w:p>
            <w:r>
              <w:rPr>
                <w:b w:val="false"/>
                <w:bCs w:val="false"/>
                <w:color w:val="222222"/>
                <w:sz w:val="19"/>
                <w:szCs w:val="19"/>
              </w:rPr>
              <w:t xml:space="preserve">Scatter plot</w:t>
            </w:r>
          </w:p>
        </w:tc>
        <w:tc>
          <w:tcPr>
            <w:tcW w:type="dxa" w:w="2300"/>
            <w:shd w:fill="FFFFFF" w:val="clear"/>
            <w:tcMar>
              <w:top w:type="dxa" w:w="80"/>
              <w:left w:type="dxa" w:w="120"/>
              <w:bottom w:type="dxa" w:w="80"/>
              <w:right w:type="dxa" w:w="120"/>
            </w:tcMar>
          </w:tcPr>
          <w:p>
            <w:r>
              <w:rPr>
                <w:b w:val="false"/>
                <w:bCs w:val="false"/>
                <w:color w:val="222222"/>
                <w:sz w:val="19"/>
                <w:szCs w:val="19"/>
              </w:rPr>
              <w:t xml:space="preserve">Add a trend line to test correlation visually</w:t>
            </w:r>
          </w:p>
        </w:tc>
      </w:tr>
      <w:tr>
        <w:tc>
          <w:tcPr>
            <w:tcW w:type="dxa" w:w="2200"/>
            <w:shd w:fill="FFFFFF" w:val="clear"/>
            <w:tcMar>
              <w:top w:type="dxa" w:w="80"/>
              <w:left w:type="dxa" w:w="120"/>
              <w:bottom w:type="dxa" w:w="80"/>
              <w:right w:type="dxa" w:w="120"/>
            </w:tcMar>
          </w:tcPr>
          <w:p>
            <w:r>
              <w:rPr>
                <w:b w:val="false"/>
                <w:bCs w:val="false"/>
                <w:color w:val="222222"/>
                <w:sz w:val="19"/>
                <w:szCs w:val="19"/>
              </w:rPr>
              <w:t xml:space="preserve">Loan purposes</w:t>
            </w:r>
          </w:p>
        </w:tc>
        <w:tc>
          <w:tcPr>
            <w:tcW w:type="dxa" w:w="3300"/>
            <w:shd w:fill="FFFFFF" w:val="clear"/>
            <w:tcMar>
              <w:top w:type="dxa" w:w="80"/>
              <w:left w:type="dxa" w:w="120"/>
              <w:bottom w:type="dxa" w:w="80"/>
              <w:right w:type="dxa" w:w="120"/>
            </w:tcMar>
          </w:tcPr>
          <w:p>
            <w:r>
              <w:rPr>
                <w:b w:val="false"/>
                <w:bCs w:val="false"/>
                <w:color w:val="222222"/>
                <w:sz w:val="19"/>
                <w:szCs w:val="19"/>
              </w:rPr>
              <w:t xml:space="preserve">loan_purpose (axis), COUNT(applicant_id) (value)</w:t>
            </w:r>
          </w:p>
        </w:tc>
        <w:tc>
          <w:tcPr>
            <w:tcW w:type="dxa" w:w="1700"/>
            <w:shd w:fill="FFFFFF" w:val="clear"/>
            <w:tcMar>
              <w:top w:type="dxa" w:w="80"/>
              <w:left w:type="dxa" w:w="120"/>
              <w:bottom w:type="dxa" w:w="80"/>
              <w:right w:type="dxa" w:w="120"/>
            </w:tcMar>
          </w:tcPr>
          <w:p>
            <w:r>
              <w:rPr>
                <w:b w:val="false"/>
                <w:bCs w:val="false"/>
                <w:color w:val="222222"/>
                <w:sz w:val="19"/>
                <w:szCs w:val="19"/>
              </w:rPr>
              <w:t xml:space="preserve">Horizontal bar</w:t>
            </w:r>
          </w:p>
        </w:tc>
        <w:tc>
          <w:tcPr>
            <w:tcW w:type="dxa" w:w="2300"/>
            <w:shd w:fill="FFFFFF" w:val="clear"/>
            <w:tcMar>
              <w:top w:type="dxa" w:w="80"/>
              <w:left w:type="dxa" w:w="120"/>
              <w:bottom w:type="dxa" w:w="80"/>
              <w:right w:type="dxa" w:w="120"/>
            </w:tcMar>
          </w:tcPr>
          <w:p>
            <w:r>
              <w:rPr>
                <w:b w:val="false"/>
                <w:bCs w:val="false"/>
                <w:color w:val="222222"/>
                <w:sz w:val="19"/>
                <w:szCs w:val="19"/>
              </w:rPr>
              <w:t xml:space="preserve">Sort descending by count</w:t>
            </w:r>
          </w:p>
        </w:tc>
      </w:tr>
      <w:tr>
        <w:tc>
          <w:tcPr>
            <w:tcW w:type="dxa" w:w="2200"/>
            <w:shd w:fill="FFFFFF" w:val="clear"/>
            <w:tcMar>
              <w:top w:type="dxa" w:w="80"/>
              <w:left w:type="dxa" w:w="120"/>
              <w:bottom w:type="dxa" w:w="80"/>
              <w:right w:type="dxa" w:w="120"/>
            </w:tcMar>
          </w:tcPr>
          <w:p>
            <w:r>
              <w:rPr>
                <w:b w:val="false"/>
                <w:bCs w:val="false"/>
                <w:color w:val="222222"/>
                <w:sz w:val="19"/>
                <w:szCs w:val="19"/>
              </w:rPr>
              <w:t xml:space="preserve">Employment status</w:t>
            </w:r>
          </w:p>
        </w:tc>
        <w:tc>
          <w:tcPr>
            <w:tcW w:type="dxa" w:w="3300"/>
            <w:shd w:fill="FFFFFF" w:val="clear"/>
            <w:tcMar>
              <w:top w:type="dxa" w:w="80"/>
              <w:left w:type="dxa" w:w="120"/>
              <w:bottom w:type="dxa" w:w="80"/>
              <w:right w:type="dxa" w:w="120"/>
            </w:tcMar>
          </w:tcPr>
          <w:p>
            <w:r>
              <w:rPr>
                <w:b w:val="false"/>
                <w:bCs w:val="false"/>
                <w:color w:val="222222"/>
                <w:sz w:val="19"/>
                <w:szCs w:val="19"/>
              </w:rPr>
              <w:t xml:space="preserve">employment_status (legend), COUNT(applicant_id) (value)</w:t>
            </w:r>
          </w:p>
        </w:tc>
        <w:tc>
          <w:tcPr>
            <w:tcW w:type="dxa" w:w="1700"/>
            <w:shd w:fill="FFFFFF" w:val="clear"/>
            <w:tcMar>
              <w:top w:type="dxa" w:w="80"/>
              <w:left w:type="dxa" w:w="120"/>
              <w:bottom w:type="dxa" w:w="80"/>
              <w:right w:type="dxa" w:w="120"/>
            </w:tcMar>
          </w:tcPr>
          <w:p>
            <w:r>
              <w:rPr>
                <w:b w:val="false"/>
                <w:bCs w:val="false"/>
                <w:color w:val="222222"/>
                <w:sz w:val="19"/>
                <w:szCs w:val="19"/>
              </w:rPr>
              <w:t xml:space="preserve">Pie / donut</w:t>
            </w:r>
          </w:p>
        </w:tc>
        <w:tc>
          <w:tcPr>
            <w:tcW w:type="dxa" w:w="2300"/>
            <w:shd w:fill="FFFFFF" w:val="clear"/>
            <w:tcMar>
              <w:top w:type="dxa" w:w="80"/>
              <w:left w:type="dxa" w:w="120"/>
              <w:bottom w:type="dxa" w:w="80"/>
              <w:right w:type="dxa" w:w="120"/>
            </w:tcMar>
          </w:tcPr>
          <w:p>
            <w:r>
              <w:rPr>
                <w:b w:val="false"/>
                <w:bCs w:val="false"/>
                <w:color w:val="222222"/>
                <w:sz w:val="19"/>
                <w:szCs w:val="19"/>
              </w:rPr>
              <w:t xml:space="preserve">Keep to 3 slices — avoid a pie with &gt;5-6 categories</w:t>
            </w:r>
          </w:p>
        </w:tc>
      </w:tr>
      <w:tr>
        <w:tc>
          <w:tcPr>
            <w:tcW w:type="dxa" w:w="2200"/>
            <w:shd w:fill="FFFFFF" w:val="clear"/>
            <w:tcMar>
              <w:top w:type="dxa" w:w="80"/>
              <w:left w:type="dxa" w:w="120"/>
              <w:bottom w:type="dxa" w:w="80"/>
              <w:right w:type="dxa" w:w="120"/>
            </w:tcMar>
          </w:tcPr>
          <w:p>
            <w:r>
              <w:rPr>
                <w:b w:val="false"/>
                <w:bCs w:val="false"/>
                <w:color w:val="222222"/>
                <w:sz w:val="19"/>
                <w:szCs w:val="19"/>
              </w:rPr>
              <w:t xml:space="preserve">Filters</w:t>
            </w:r>
          </w:p>
        </w:tc>
        <w:tc>
          <w:tcPr>
            <w:tcW w:type="dxa" w:w="3300"/>
            <w:shd w:fill="FFFFFF" w:val="clear"/>
            <w:tcMar>
              <w:top w:type="dxa" w:w="80"/>
              <w:left w:type="dxa" w:w="120"/>
              <w:bottom w:type="dxa" w:w="80"/>
              <w:right w:type="dxa" w:w="120"/>
            </w:tcMar>
          </w:tcPr>
          <w:p>
            <w:r>
              <w:rPr>
                <w:b w:val="false"/>
                <w:bCs w:val="false"/>
                <w:color w:val="222222"/>
                <w:sz w:val="19"/>
                <w:szCs w:val="19"/>
              </w:rPr>
              <w:t xml:space="preserve">region, credit_risk_tier, employment_years</w:t>
            </w:r>
          </w:p>
        </w:tc>
        <w:tc>
          <w:tcPr>
            <w:tcW w:type="dxa" w:w="1700"/>
            <w:shd w:fill="FFFFFF" w:val="clear"/>
            <w:tcMar>
              <w:top w:type="dxa" w:w="80"/>
              <w:left w:type="dxa" w:w="120"/>
              <w:bottom w:type="dxa" w:w="80"/>
              <w:right w:type="dxa" w:w="120"/>
            </w:tcMar>
          </w:tcPr>
          <w:p>
            <w:r>
              <w:rPr>
                <w:b w:val="false"/>
                <w:bCs w:val="false"/>
                <w:color w:val="222222"/>
                <w:sz w:val="19"/>
                <w:szCs w:val="19"/>
              </w:rPr>
              <w:t xml:space="preserve">Slicer (Power BI) / Filter shelf + Quick Filter (Tableau)</w:t>
            </w:r>
          </w:p>
        </w:tc>
        <w:tc>
          <w:tcPr>
            <w:tcW w:type="dxa" w:w="2300"/>
            <w:shd w:fill="FFFFFF" w:val="clear"/>
            <w:tcMar>
              <w:top w:type="dxa" w:w="80"/>
              <w:left w:type="dxa" w:w="120"/>
              <w:bottom w:type="dxa" w:w="80"/>
              <w:right w:type="dxa" w:w="120"/>
            </w:tcMar>
          </w:tcPr>
          <w:p>
            <w:r>
              <w:rPr>
                <w:b w:val="false"/>
                <w:bCs w:val="false"/>
                <w:color w:val="222222"/>
                <w:sz w:val="19"/>
                <w:szCs w:val="19"/>
              </w:rPr>
              <w:t xml:space="preserve">Apply as report-level / dashboard-level filters so they affect every visual</w:t>
            </w:r>
          </w:p>
        </w:tc>
      </w:tr>
    </w:tbl>
    <w:p>
      <w:r>
        <w:br w:type="page"/>
      </w:r>
    </w:p>
    <w:p>
      <w:pPr>
        <w:pStyle w:val="Heading1"/>
        <w:pBdr>
          <w:bottom w:val="single" w:color="1F3A5F" w:sz="6" w:space="4"/>
        </w:pBdr>
        <w:spacing w:after="160" w:before="320"/>
      </w:pPr>
      <w:r>
        <w:rPr>
          <w:b/>
          <w:bCs/>
          <w:color w:val="1F3A5F"/>
          <w:sz w:val="30"/>
          <w:szCs w:val="30"/>
        </w:rPr>
        <w:t xml:space="preserve">6. Key Insights &amp; Recommendations</w:t>
      </w:r>
    </w:p>
    <w:p>
      <w:pPr>
        <w:pStyle w:val="Heading2"/>
        <w:spacing w:after="120" w:before="260"/>
      </w:pPr>
      <w:r>
        <w:rPr>
          <w:b/>
          <w:bCs/>
          <w:color w:val="1F3A5F"/>
          <w:sz w:val="24"/>
          <w:szCs w:val="24"/>
        </w:rPr>
        <w:t xml:space="preserve">6.1 What the data shows</w:t>
      </w:r>
    </w:p>
    <w:p>
      <w:pPr>
        <w:pStyle w:val="ListParagraph"/>
        <w:numPr>
          <w:ilvl w:val="0"/>
          <w:numId w:val="1"/>
        </w:numPr>
        <w:spacing w:after="80"/>
      </w:pPr>
      <w:r>
        <w:rPr>
          <w:color w:val="222222"/>
          <w:sz w:val="21"/>
          <w:szCs w:val="21"/>
        </w:rPr>
        <w:t xml:space="preserve">Loan demand is balanced across all five purposes (~20% each) — no single product line dominates intake.</w:t>
      </w:r>
    </w:p>
    <w:p>
      <w:pPr>
        <w:pStyle w:val="ListParagraph"/>
        <w:numPr>
          <w:ilvl w:val="0"/>
          <w:numId w:val="1"/>
        </w:numPr>
        <w:spacing w:after="80"/>
      </w:pPr>
      <w:r>
        <w:rPr>
          <w:color w:val="222222"/>
          <w:sz w:val="21"/>
          <w:szCs w:val="21"/>
        </w:rPr>
        <w:t xml:space="preserve">Approval rate sits in a tight 33–36% band regardless of region or employment status; geography and employment type are not meaningful approval drivers here.</w:t>
      </w:r>
    </w:p>
    <w:p>
      <w:pPr>
        <w:pStyle w:val="ListParagraph"/>
        <w:numPr>
          <w:ilvl w:val="0"/>
          <w:numId w:val="1"/>
        </w:numPr>
        <w:spacing w:after="80"/>
      </w:pPr>
      <w:r>
        <w:rPr>
          <w:color w:val="222222"/>
          <w:sz w:val="21"/>
          <w:szCs w:val="21"/>
        </w:rPr>
        <w:t xml:space="preserve">Credit score, income, and employment tenure are each close to uniformly distributed and largely independent of one another and of the outcome fields (approval, default, risk flag).</w:t>
      </w:r>
    </w:p>
    <w:p>
      <w:pPr>
        <w:pStyle w:val="ListParagraph"/>
        <w:numPr>
          <w:ilvl w:val="0"/>
          <w:numId w:val="1"/>
        </w:numPr>
        <w:spacing w:after="80"/>
      </w:pPr>
      <w:r>
        <w:rPr>
          <w:color w:val="222222"/>
          <w:sz w:val="21"/>
          <w:szCs w:val="21"/>
        </w:rPr>
        <w:t xml:space="preserve">Debt-to-income ratio scales as expected with income group (1.51 → 0.31 from lowest to highest income band), since average loan size barely moves across income groups.</w:t>
      </w:r>
    </w:p>
    <w:p>
      <w:pPr>
        <w:pStyle w:val="ListParagraph"/>
        <w:numPr>
          <w:ilvl w:val="0"/>
          <w:numId w:val="1"/>
        </w:numPr>
        <w:spacing w:after="80"/>
      </w:pPr>
      <w:r>
        <w:rPr>
          <w:color w:val="222222"/>
          <w:sz w:val="21"/>
          <w:szCs w:val="21"/>
        </w:rPr>
        <w:t xml:space="preserve">Late-payment count does not show a monotonic relationship with either the risk flag or prior default — a pattern a real underwriting dataset would not normally show.</w:t>
      </w:r>
    </w:p>
    <w:p>
      <w:pPr>
        <w:spacing w:after="120"/>
      </w:pPr>
    </w:p>
    <w:p>
      <w:pPr>
        <w:pStyle w:val="Heading2"/>
        <w:spacing w:after="120" w:before="260"/>
      </w:pPr>
      <w:r>
        <w:rPr>
          <w:b/>
          <w:bCs/>
          <w:color w:val="1F3A5F"/>
          <w:sz w:val="24"/>
          <w:szCs w:val="24"/>
        </w:rPr>
        <w:t xml:space="preserve">6.2 Recommendations</w:t>
      </w:r>
    </w:p>
    <w:p>
      <w:pPr>
        <w:pStyle w:val="ListParagraph"/>
        <w:numPr>
          <w:ilvl w:val="0"/>
          <w:numId w:val="1"/>
        </w:numPr>
        <w:spacing w:after="80"/>
      </w:pPr>
      <w:r>
        <w:rPr>
          <w:color w:val="222222"/>
          <w:sz w:val="21"/>
          <w:szCs w:val="21"/>
        </w:rPr>
        <w:t xml:space="preserve">Treat this dataset as a pipeline/BI proving ground rather than a source of lending strategy: the weak correlations above mean the ETL → SQL → dashboard mechanics are sound, but the findings themselves shouldn't be read as real market behaviour.</w:t>
      </w:r>
    </w:p>
    <w:p>
      <w:pPr>
        <w:pStyle w:val="ListParagraph"/>
        <w:numPr>
          <w:ilvl w:val="0"/>
          <w:numId w:val="1"/>
        </w:numPr>
        <w:spacing w:after="80"/>
      </w:pPr>
      <w:r>
        <w:rPr>
          <w:color w:val="222222"/>
          <w:sz w:val="21"/>
          <w:szCs w:val="21"/>
        </w:rPr>
        <w:t xml:space="preserve">If a scoring model is trained later, engineer interaction features deliberately (e.g. late_payments × credit_risk_tier, employment_years × loan_amount) since none currently carry a built-in signal.</w:t>
      </w:r>
    </w:p>
    <w:p>
      <w:pPr>
        <w:pStyle w:val="ListParagraph"/>
        <w:numPr>
          <w:ilvl w:val="0"/>
          <w:numId w:val="1"/>
        </w:numPr>
        <w:spacing w:after="80"/>
      </w:pPr>
      <w:r>
        <w:rPr>
          <w:color w:val="222222"/>
          <w:sz w:val="21"/>
          <w:szCs w:val="21"/>
        </w:rPr>
        <w:t xml:space="preserve">For a production version, add an interest-rate / installment field so debt_to_income_ratio can be computed from actual debt service rather than the monthly_expense proxy used here.</w:t>
      </w:r>
    </w:p>
    <w:p>
      <w:pPr>
        <w:pStyle w:val="ListParagraph"/>
        <w:numPr>
          <w:ilvl w:val="0"/>
          <w:numId w:val="1"/>
        </w:numPr>
        <w:spacing w:after="80"/>
      </w:pPr>
      <w:r>
        <w:rPr>
          <w:color w:val="222222"/>
          <w:sz w:val="21"/>
          <w:szCs w:val="21"/>
        </w:rPr>
        <w:t xml:space="preserve">Re-run the validation stage whenever new data lands — the pipeline's five rules (income, score, age, loan amount, duplicates) are cheap checks worth keeping in any refresh job.</w:t>
      </w:r>
    </w:p>
    <w:p>
      <w:pPr>
        <w:spacing w:after="200"/>
      </w:pPr>
    </w:p>
    <w:p>
      <w:pPr>
        <w:pStyle w:val="Heading2"/>
        <w:spacing w:after="120" w:before="260"/>
      </w:pPr>
      <w:r>
        <w:rPr>
          <w:b/>
          <w:bCs/>
          <w:color w:val="1F3A5F"/>
          <w:sz w:val="24"/>
          <w:szCs w:val="24"/>
        </w:rPr>
        <w:t xml:space="preserve">6.3 Assumptions log</w:t>
      </w:r>
    </w:p>
    <w:p>
      <w:pPr>
        <w:pStyle w:val="ListParagraph"/>
        <w:numPr>
          <w:ilvl w:val="0"/>
          <w:numId w:val="1"/>
        </w:numPr>
        <w:spacing w:after="80"/>
      </w:pPr>
      <w:r>
        <w:rPr>
          <w:color w:val="222222"/>
          <w:sz w:val="21"/>
          <w:szCs w:val="21"/>
        </w:rPr>
        <w:t xml:space="preserve">debt_to_income_ratio uses monthly_expense as a proxy for monthly debt service, since no explicit debt-payment column exists in the source data.</w:t>
      </w:r>
    </w:p>
    <w:p>
      <w:pPr>
        <w:pStyle w:val="ListParagraph"/>
        <w:numPr>
          <w:ilvl w:val="0"/>
          <w:numId w:val="1"/>
        </w:numPr>
        <w:spacing w:after="80"/>
      </w:pPr>
      <w:r>
        <w:rPr>
          <w:color w:val="222222"/>
          <w:sz w:val="21"/>
          <w:szCs w:val="21"/>
        </w:rPr>
        <w:t xml:space="preserve">credit_risk_tier uses standard FICO-style bands (Poor/Fair/Good/Very Good/Exceptional); these bands are unequal in width, which affects tier counts (see §3.2).</w:t>
      </w:r>
    </w:p>
    <w:p>
      <w:pPr>
        <w:pStyle w:val="ListParagraph"/>
        <w:numPr>
          <w:ilvl w:val="0"/>
          <w:numId w:val="1"/>
        </w:numPr>
        <w:spacing w:after="80"/>
      </w:pPr>
      <w:r>
        <w:rPr>
          <w:color w:val="222222"/>
          <w:sz w:val="21"/>
          <w:szCs w:val="21"/>
        </w:rPr>
        <w:t xml:space="preserve">income_group bands (&lt;30K / 30K-60K / 60K-90K / 90K+) were chosen to give roughly even group sizes given the ~$15K-$120K income range.</w:t>
      </w:r>
    </w:p>
    <w:p>
      <w:pPr>
        <w:pStyle w:val="ListParagraph"/>
        <w:numPr>
          <w:ilvl w:val="0"/>
          <w:numId w:val="1"/>
        </w:numPr>
        <w:spacing w:after="80"/>
      </w:pPr>
      <w:r>
        <w:rPr>
          <w:color w:val="222222"/>
          <w:sz w:val="21"/>
          <w:szCs w:val="21"/>
        </w:rPr>
        <w:t xml:space="preserve">Validation age range (18-100) is a general working-adult bound; the observed data (21-64) sits comfortably inside it.</w:t>
      </w:r>
    </w:p>
    <w:p>
      <w:r>
        <w:br w:type="page"/>
      </w:r>
    </w:p>
    <w:p>
      <w:pPr>
        <w:pStyle w:val="Heading1"/>
        <w:pBdr>
          <w:bottom w:val="single" w:color="1F3A5F" w:sz="6" w:space="4"/>
        </w:pBdr>
        <w:spacing w:after="160" w:before="320"/>
      </w:pPr>
      <w:r>
        <w:rPr>
          <w:b/>
          <w:bCs/>
          <w:color w:val="1F3A5F"/>
          <w:sz w:val="30"/>
          <w:szCs w:val="30"/>
        </w:rPr>
        <w:t xml:space="preserve">Appendix — Data Dictionary</w:t>
      </w:r>
    </w:p>
    <w:p>
      <w:pPr>
        <w:pStyle w:val="Heading2"/>
        <w:spacing w:after="120" w:before="260"/>
      </w:pPr>
      <w:r>
        <w:rPr>
          <w:b/>
          <w:bCs/>
          <w:color w:val="1F3A5F"/>
          <w:sz w:val="24"/>
          <w:szCs w:val="24"/>
        </w:rPr>
        <w:t xml:space="preserve">Original columns</w:t>
      </w:r>
    </w:p>
    <w:tbl>
      <w:tblPr>
        <w:tblW w:type="dxa" w:w="95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1600"/>
        <w:gridCol w:w="5300"/>
      </w:tblGrid>
      <w:tr>
        <w:trPr>
          <w:tblHeader/>
        </w:trPr>
        <w:tc>
          <w:tcPr>
            <w:tcW w:type="dxa" w:w="2600"/>
            <w:shd w:fill="1F3A5F" w:val="clear"/>
            <w:tcMar>
              <w:top w:type="dxa" w:w="80"/>
              <w:left w:type="dxa" w:w="120"/>
              <w:bottom w:type="dxa" w:w="80"/>
              <w:right w:type="dxa" w:w="120"/>
            </w:tcMar>
          </w:tcPr>
          <w:p>
            <w:r>
              <w:rPr>
                <w:b/>
                <w:bCs/>
                <w:color w:val="FFFFFF"/>
                <w:sz w:val="19"/>
                <w:szCs w:val="19"/>
              </w:rPr>
              <w:t xml:space="preserve">Column</w:t>
            </w:r>
          </w:p>
        </w:tc>
        <w:tc>
          <w:tcPr>
            <w:tcW w:type="dxa" w:w="1600"/>
            <w:shd w:fill="1F3A5F" w:val="clear"/>
            <w:tcMar>
              <w:top w:type="dxa" w:w="80"/>
              <w:left w:type="dxa" w:w="120"/>
              <w:bottom w:type="dxa" w:w="80"/>
              <w:right w:type="dxa" w:w="120"/>
            </w:tcMar>
          </w:tcPr>
          <w:p>
            <w:r>
              <w:rPr>
                <w:b/>
                <w:bCs/>
                <w:color w:val="FFFFFF"/>
                <w:sz w:val="19"/>
                <w:szCs w:val="19"/>
              </w:rPr>
              <w:t xml:space="preserve">Type</w:t>
            </w:r>
          </w:p>
        </w:tc>
        <w:tc>
          <w:tcPr>
            <w:tcW w:type="dxa" w:w="5300"/>
            <w:shd w:fill="1F3A5F" w:val="clear"/>
            <w:tcMar>
              <w:top w:type="dxa" w:w="80"/>
              <w:left w:type="dxa" w:w="120"/>
              <w:bottom w:type="dxa" w:w="80"/>
              <w:right w:type="dxa" w:w="120"/>
            </w:tcMar>
          </w:tcPr>
          <w:p>
            <w:r>
              <w:rPr>
                <w:b/>
                <w:bCs/>
                <w:color w:val="FFFFFF"/>
                <w:sz w:val="19"/>
                <w:szCs w:val="19"/>
              </w:rPr>
              <w:t xml:space="preserve">Description</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applicant_id</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text</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Unique applicant identifier (UUID)</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name</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text</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Applicant name</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gender</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category</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Female / Male / Other</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age</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int</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Applicant age (21-64 observed)</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marital_status</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category</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Single / Married / Divorced / Widowed</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employment_status</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category</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Employed / Self-employed / Unemployed</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annual_income</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float</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Annual income, $</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loan_amount</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float</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Requested loan amount, $</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loan_term_months</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int</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Requested term, months</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loan_purpose</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category</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Business / Car / Education / Home / Personal</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credit_score</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int</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300-850</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existing_loans_count</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int</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Number of existing loans</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monthly_expense</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float</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Reported monthly expenses, $</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application_date</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date</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2023-04-23 to 2025-04-22</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approval_status</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category</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Approved / Denied / Pending</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late_payments</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int</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Count of late payments, 0-8</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risk_flag</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int (0/1)</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High-risk flag</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region</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category</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7 UK cities</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employment_years</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int</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Years in current employment, 0-29</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defaulted_before</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int (0/1)</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Prior default indicator</w:t>
            </w:r>
          </w:p>
        </w:tc>
      </w:tr>
    </w:tbl>
    <w:p>
      <w:pPr>
        <w:spacing w:after="120"/>
      </w:pPr>
    </w:p>
    <w:p>
      <w:pPr>
        <w:pStyle w:val="Heading2"/>
        <w:spacing w:after="120" w:before="260"/>
      </w:pPr>
      <w:r>
        <w:rPr>
          <w:b/>
          <w:bCs/>
          <w:color w:val="1F3A5F"/>
          <w:sz w:val="24"/>
          <w:szCs w:val="24"/>
        </w:rPr>
        <w:t xml:space="preserve">Engineered columns (added in Phase 0)</w:t>
      </w:r>
    </w:p>
    <w:tbl>
      <w:tblPr>
        <w:tblW w:type="dxa" w:w="95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1600"/>
        <w:gridCol w:w="5300"/>
      </w:tblGrid>
      <w:tr>
        <w:trPr>
          <w:tblHeader/>
        </w:trPr>
        <w:tc>
          <w:tcPr>
            <w:tcW w:type="dxa" w:w="2600"/>
            <w:shd w:fill="1F3A5F" w:val="clear"/>
            <w:tcMar>
              <w:top w:type="dxa" w:w="80"/>
              <w:left w:type="dxa" w:w="120"/>
              <w:bottom w:type="dxa" w:w="80"/>
              <w:right w:type="dxa" w:w="120"/>
            </w:tcMar>
          </w:tcPr>
          <w:p>
            <w:r>
              <w:rPr>
                <w:b/>
                <w:bCs/>
                <w:color w:val="FFFFFF"/>
                <w:sz w:val="19"/>
                <w:szCs w:val="19"/>
              </w:rPr>
              <w:t xml:space="preserve">Column</w:t>
            </w:r>
          </w:p>
        </w:tc>
        <w:tc>
          <w:tcPr>
            <w:tcW w:type="dxa" w:w="1600"/>
            <w:shd w:fill="1F3A5F" w:val="clear"/>
            <w:tcMar>
              <w:top w:type="dxa" w:w="80"/>
              <w:left w:type="dxa" w:w="120"/>
              <w:bottom w:type="dxa" w:w="80"/>
              <w:right w:type="dxa" w:w="120"/>
            </w:tcMar>
          </w:tcPr>
          <w:p>
            <w:r>
              <w:rPr>
                <w:b/>
                <w:bCs/>
                <w:color w:val="FFFFFF"/>
                <w:sz w:val="19"/>
                <w:szCs w:val="19"/>
              </w:rPr>
              <w:t xml:space="preserve">Type</w:t>
            </w:r>
          </w:p>
        </w:tc>
        <w:tc>
          <w:tcPr>
            <w:tcW w:type="dxa" w:w="5300"/>
            <w:shd w:fill="1F3A5F" w:val="clear"/>
            <w:tcMar>
              <w:top w:type="dxa" w:w="80"/>
              <w:left w:type="dxa" w:w="120"/>
              <w:bottom w:type="dxa" w:w="80"/>
              <w:right w:type="dxa" w:w="120"/>
            </w:tcMar>
          </w:tcPr>
          <w:p>
            <w:r>
              <w:rPr>
                <w:b/>
                <w:bCs/>
                <w:color w:val="FFFFFF"/>
                <w:sz w:val="19"/>
                <w:szCs w:val="19"/>
              </w:rPr>
              <w:t xml:space="preserve">Description</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debt_to_income_ratio</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float</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monthly_expense ÷ (annual_income / 12)</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credit_risk_tier</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category</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FICO-style band derived from credit_score</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income_group</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category</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Banded annual_income</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approved_flag</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int (0/1)</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1 if approval_status = Approved</w:t>
            </w:r>
          </w:p>
        </w:tc>
      </w:tr>
      <w:tr>
        <w:tc>
          <w:tcPr>
            <w:tcW w:type="dxa" w:w="2600"/>
            <w:shd w:fill="FFFFFF" w:val="clear"/>
            <w:tcMar>
              <w:top w:type="dxa" w:w="80"/>
              <w:left w:type="dxa" w:w="120"/>
              <w:bottom w:type="dxa" w:w="80"/>
              <w:right w:type="dxa" w:w="120"/>
            </w:tcMar>
          </w:tcPr>
          <w:p>
            <w:r>
              <w:rPr>
                <w:b w:val="false"/>
                <w:bCs w:val="false"/>
                <w:color w:val="222222"/>
                <w:sz w:val="19"/>
                <w:szCs w:val="19"/>
              </w:rPr>
              <w:t xml:space="preserve">late_payment_band</w:t>
            </w:r>
          </w:p>
        </w:tc>
        <w:tc>
          <w:tcPr>
            <w:tcW w:type="dxa" w:w="1600"/>
            <w:shd w:fill="FFFFFF" w:val="clear"/>
            <w:tcMar>
              <w:top w:type="dxa" w:w="80"/>
              <w:left w:type="dxa" w:w="120"/>
              <w:bottom w:type="dxa" w:w="80"/>
              <w:right w:type="dxa" w:w="120"/>
            </w:tcMar>
          </w:tcPr>
          <w:p>
            <w:r>
              <w:rPr>
                <w:b w:val="false"/>
                <w:bCs w:val="false"/>
                <w:color w:val="222222"/>
                <w:sz w:val="19"/>
                <w:szCs w:val="19"/>
              </w:rPr>
              <w:t xml:space="preserve">category</w:t>
            </w:r>
          </w:p>
        </w:tc>
        <w:tc>
          <w:tcPr>
            <w:tcW w:type="dxa" w:w="5300"/>
            <w:shd w:fill="FFFFFF" w:val="clear"/>
            <w:tcMar>
              <w:top w:type="dxa" w:w="80"/>
              <w:left w:type="dxa" w:w="120"/>
              <w:bottom w:type="dxa" w:w="80"/>
              <w:right w:type="dxa" w:w="120"/>
            </w:tcMar>
          </w:tcPr>
          <w:p>
            <w:r>
              <w:rPr>
                <w:b w:val="false"/>
                <w:bCs w:val="false"/>
                <w:color w:val="222222"/>
                <w:sz w:val="19"/>
                <w:szCs w:val="19"/>
              </w:rPr>
              <w:t xml:space="preserve">late_payments grouped 0 / 1-2 / 3+</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Credit Scoring &amp; Risk Analysis — Project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7cf3be7a9d019c0027d36565b8c561c6c34420.png"/><Relationship Id="rId10" Type="http://schemas.openxmlformats.org/officeDocument/2006/relationships/image" Target="media/19a2b9671f3c9db24a163587da33133828a641dc.png"/><Relationship Id="rId11" Type="http://schemas.openxmlformats.org/officeDocument/2006/relationships/image" Target="media/3881b810f90dd669c3f06fb6d7320a17adc34dd2.png"/><Relationship Id="rId12" Type="http://schemas.openxmlformats.org/officeDocument/2006/relationships/image" Target="media/69ca8e50363f2e2999ebf5329b047c0a653ceaba.png"/><Relationship Id="rId13" Type="http://schemas.openxmlformats.org/officeDocument/2006/relationships/image" Target="media/17e7446f6fa979e240a9e1be9c759438d0527a27.png"/><Relationship Id="rId14" Type="http://schemas.openxmlformats.org/officeDocument/2006/relationships/image" Target="media/77482bf2df7cbbefd846bca39cbfdfd2d880a7e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2026-09-02T13:24:24.925Z</dcterms:created>
  <dcterms:modified xsi:type="dcterms:W3CDTF">2026-09-02T13:24:24.925Z</dcterms:modified>
</cp:coreProperties>
</file>

<file path=docProps/custom.xml><?xml version="1.0" encoding="utf-8"?>
<Properties xmlns="http://schemas.openxmlformats.org/officeDocument/2006/custom-properties" xmlns:vt="http://schemas.openxmlformats.org/officeDocument/2006/docPropsVTypes"/>
</file>