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795BE" w14:textId="77777777" w:rsidR="00060A39" w:rsidRDefault="00060A39">
      <w:pPr>
        <w:spacing w:before="1400"/>
        <w:jc w:val="center"/>
        <w:rPr>
          <w:rFonts w:ascii="Aptos Display" w:hAnsi="Aptos Display"/>
          <w:b/>
          <w:color w:val="12304A"/>
          <w:sz w:val="58"/>
        </w:rPr>
      </w:pPr>
    </w:p>
    <w:p w14:paraId="6A7A05B3" w14:textId="77777777" w:rsidR="00060A39" w:rsidRDefault="00060A39">
      <w:pPr>
        <w:spacing w:before="1400"/>
        <w:jc w:val="center"/>
        <w:rPr>
          <w:rFonts w:ascii="Aptos Display" w:hAnsi="Aptos Display"/>
          <w:b/>
          <w:color w:val="12304A"/>
          <w:sz w:val="58"/>
        </w:rPr>
      </w:pPr>
    </w:p>
    <w:p w14:paraId="40520CC5" w14:textId="17386B53" w:rsidR="00087357" w:rsidRDefault="00000000">
      <w:pPr>
        <w:spacing w:before="1400"/>
        <w:jc w:val="center"/>
      </w:pPr>
      <w:proofErr w:type="spellStart"/>
      <w:r>
        <w:rPr>
          <w:rFonts w:ascii="Aptos Display" w:hAnsi="Aptos Display"/>
          <w:b/>
          <w:color w:val="12304A"/>
          <w:sz w:val="58"/>
        </w:rPr>
        <w:t>oVirt</w:t>
      </w:r>
      <w:proofErr w:type="spellEnd"/>
      <w:r>
        <w:rPr>
          <w:rFonts w:ascii="Aptos Display" w:hAnsi="Aptos Display"/>
          <w:b/>
          <w:color w:val="12304A"/>
          <w:sz w:val="58"/>
        </w:rPr>
        <w:t xml:space="preserve"> Virtualization</w:t>
      </w:r>
      <w:r>
        <w:rPr>
          <w:rFonts w:ascii="Aptos Display" w:hAnsi="Aptos Display"/>
          <w:b/>
          <w:color w:val="12304A"/>
          <w:sz w:val="58"/>
        </w:rPr>
        <w:br/>
        <w:t xml:space="preserve">Platform </w:t>
      </w:r>
    </w:p>
    <w:p w14:paraId="26C0AAB3" w14:textId="77777777" w:rsidR="00087357" w:rsidRDefault="00000000">
      <w:pPr>
        <w:jc w:val="center"/>
      </w:pPr>
      <w:r>
        <w:rPr>
          <w:color w:val="176B87"/>
          <w:sz w:val="26"/>
        </w:rPr>
        <w:t>Architecture • Security • Lifecycle • Storage • Migration</w:t>
      </w:r>
    </w:p>
    <w:p w14:paraId="4861534B" w14:textId="77777777" w:rsidR="00087357" w:rsidRDefault="00087357"/>
    <w:p w14:paraId="58C53BE9" w14:textId="77777777" w:rsidR="00087357" w:rsidRDefault="00000000">
      <w:pPr>
        <w:jc w:val="center"/>
      </w:pPr>
      <w:r>
        <w:rPr>
          <w:i/>
        </w:rPr>
        <w:t>Prepared for infrastructure planning and platform evaluation</w:t>
      </w:r>
    </w:p>
    <w:p w14:paraId="69F88B51" w14:textId="77777777" w:rsidR="00087357" w:rsidRDefault="00000000">
      <w:r>
        <w:br w:type="page"/>
      </w:r>
    </w:p>
    <w:p w14:paraId="7F058C25" w14:textId="77777777" w:rsidR="00087357" w:rsidRDefault="00000000">
      <w:pPr>
        <w:pStyle w:val="Heading1"/>
      </w:pPr>
      <w:r>
        <w:lastRenderedPageBreak/>
        <w:t>Document purpose and scope</w:t>
      </w:r>
    </w:p>
    <w:p w14:paraId="7AED033B" w14:textId="7C776474" w:rsidR="00087357" w:rsidRDefault="00000000">
      <w:r>
        <w:t xml:space="preserve">This document consolidates the supplied notes into a structured technical assessment of </w:t>
      </w:r>
      <w:proofErr w:type="spellStart"/>
      <w:r>
        <w:t>oVirt</w:t>
      </w:r>
      <w:proofErr w:type="spellEnd"/>
      <w:r>
        <w:t xml:space="preserve">, including its self-hosted Engine architecture, operating-system and security considerations, storage and networking, migration options, operational recommendations, and a comparison with </w:t>
      </w:r>
      <w:proofErr w:type="spellStart"/>
      <w:r>
        <w:t>Proxmox</w:t>
      </w:r>
      <w:proofErr w:type="spellEnd"/>
      <w:r>
        <w:t xml:space="preserve"> VE, HPE VM Essentials, and VMware </w:t>
      </w:r>
      <w:proofErr w:type="gramStart"/>
      <w:r>
        <w:t>vSphere..</w:t>
      </w:r>
      <w:proofErr w:type="gramEnd"/>
    </w:p>
    <w:p w14:paraId="71A1F3A7" w14:textId="77777777" w:rsidR="00087357" w:rsidRDefault="00000000">
      <w:pPr>
        <w:pStyle w:val="Heading1"/>
      </w:pPr>
      <w:r>
        <w:t>Executive summary</w:t>
      </w:r>
    </w:p>
    <w:p w14:paraId="6D0D4C5F" w14:textId="77777777" w:rsidR="00087357" w:rsidRDefault="00000000">
      <w:pPr>
        <w:pStyle w:val="ListBullet"/>
        <w:spacing w:after="40"/>
      </w:pPr>
      <w:proofErr w:type="spellStart"/>
      <w:r>
        <w:t>oVirt</w:t>
      </w:r>
      <w:proofErr w:type="spellEnd"/>
      <w:r>
        <w:t xml:space="preserve"> is an open-source virtualization management platform built around KVM/QEMU hosts and a centralized Engine.</w:t>
      </w:r>
    </w:p>
    <w:p w14:paraId="3237B859" w14:textId="77777777" w:rsidR="00087357" w:rsidRDefault="00000000">
      <w:pPr>
        <w:pStyle w:val="ListBullet"/>
        <w:spacing w:after="40"/>
      </w:pPr>
      <w:r>
        <w:t>The Engine can run as a virtual machine in a self-hosted Engine deployment, providing Engine high availability when the environment is correctly configured.</w:t>
      </w:r>
    </w:p>
    <w:p w14:paraId="1EA7EE19" w14:textId="77777777" w:rsidR="00087357" w:rsidRDefault="00000000">
      <w:pPr>
        <w:pStyle w:val="ListBullet"/>
        <w:spacing w:after="40"/>
      </w:pPr>
      <w:r>
        <w:t>A self-hosted Engine design requires at least two eligible hosts and storage accessible to all relevant hosts; the Engine VM's storage domain should be dedicated to it.</w:t>
      </w:r>
    </w:p>
    <w:p w14:paraId="2B65FEAA" w14:textId="77777777" w:rsidR="00087357" w:rsidRDefault="00000000">
      <w:pPr>
        <w:pStyle w:val="ListBullet"/>
        <w:spacing w:after="40"/>
      </w:pPr>
      <w:r>
        <w:t xml:space="preserve">Security depends on patching both the operating system and </w:t>
      </w:r>
      <w:proofErr w:type="spellStart"/>
      <w:r>
        <w:t>oVirt</w:t>
      </w:r>
      <w:proofErr w:type="spellEnd"/>
      <w:r>
        <w:t xml:space="preserve"> components, keeping the platform on a supported release, maintaining secure access, and monitoring upstream advisories.</w:t>
      </w:r>
    </w:p>
    <w:p w14:paraId="02E78179" w14:textId="77777777" w:rsidR="00087357" w:rsidRDefault="00000000">
      <w:pPr>
        <w:pStyle w:val="ListBullet"/>
        <w:spacing w:after="40"/>
      </w:pPr>
      <w:r>
        <w:t xml:space="preserve">CentOS Stream receives updates during its lifecycle, but OS updates do not guarantee that every </w:t>
      </w:r>
      <w:proofErr w:type="spellStart"/>
      <w:r>
        <w:t>oVirt</w:t>
      </w:r>
      <w:proofErr w:type="spellEnd"/>
      <w:r>
        <w:t xml:space="preserve"> component is patched or commercially supported.</w:t>
      </w:r>
    </w:p>
    <w:p w14:paraId="065EBDE7" w14:textId="77777777" w:rsidR="00087357" w:rsidRDefault="00000000">
      <w:pPr>
        <w:pStyle w:val="ListBullet"/>
        <w:spacing w:after="40"/>
      </w:pPr>
      <w:proofErr w:type="spellStart"/>
      <w:r>
        <w:t>oVirt</w:t>
      </w:r>
      <w:proofErr w:type="spellEnd"/>
      <w:r>
        <w:t xml:space="preserve">, </w:t>
      </w:r>
      <w:proofErr w:type="spellStart"/>
      <w:r>
        <w:t>Proxmox</w:t>
      </w:r>
      <w:proofErr w:type="spellEnd"/>
      <w:r>
        <w:t xml:space="preserve"> VE, HPE VM Essentials, and VMware vSphere differ in licensing, support model, hypervisor, migration workflows, and operational responsibility. Validate exact version support before selecting a production platform.</w:t>
      </w:r>
    </w:p>
    <w:p w14:paraId="7BA7EA35" w14:textId="77777777" w:rsidR="00087357" w:rsidRDefault="00000000">
      <w:pPr>
        <w:pStyle w:val="Heading1"/>
      </w:pPr>
      <w:r>
        <w:t>Contents</w:t>
      </w:r>
    </w:p>
    <w:p w14:paraId="73D0F94A" w14:textId="77777777" w:rsidR="00087357" w:rsidRDefault="00000000">
      <w:pPr>
        <w:pStyle w:val="ListBullet"/>
        <w:spacing w:after="40"/>
      </w:pPr>
      <w:r>
        <w:t>1. Platform overview and architecture</w:t>
      </w:r>
    </w:p>
    <w:p w14:paraId="32F87B27" w14:textId="77777777" w:rsidR="00087357" w:rsidRDefault="00000000">
      <w:pPr>
        <w:pStyle w:val="ListBullet"/>
        <w:spacing w:after="40"/>
      </w:pPr>
      <w:r>
        <w:t>2. Licensing and support</w:t>
      </w:r>
    </w:p>
    <w:p w14:paraId="019956F9" w14:textId="77777777" w:rsidR="00087357" w:rsidRDefault="00000000">
      <w:pPr>
        <w:pStyle w:val="ListBullet"/>
        <w:spacing w:after="40"/>
      </w:pPr>
      <w:r>
        <w:t>3. Release status and operating-system lifecycle</w:t>
      </w:r>
    </w:p>
    <w:p w14:paraId="72AA2CBA" w14:textId="77777777" w:rsidR="00087357" w:rsidRDefault="00000000">
      <w:pPr>
        <w:pStyle w:val="ListBullet"/>
        <w:spacing w:after="40"/>
      </w:pPr>
      <w:r>
        <w:t>4. Security and patching</w:t>
      </w:r>
    </w:p>
    <w:p w14:paraId="0582C41A" w14:textId="77777777" w:rsidR="00087357" w:rsidRDefault="00000000">
      <w:pPr>
        <w:pStyle w:val="ListBullet"/>
        <w:spacing w:after="40"/>
      </w:pPr>
      <w:r>
        <w:t>5. Cluster, high availability, and self-hosted Engine</w:t>
      </w:r>
    </w:p>
    <w:p w14:paraId="04A9C116" w14:textId="77777777" w:rsidR="00087357" w:rsidRDefault="00000000">
      <w:pPr>
        <w:pStyle w:val="ListBullet"/>
        <w:spacing w:after="40"/>
      </w:pPr>
      <w:r>
        <w:t>6. Storage and networking</w:t>
      </w:r>
    </w:p>
    <w:p w14:paraId="7F611FD6" w14:textId="77777777" w:rsidR="00087357" w:rsidRDefault="00000000">
      <w:pPr>
        <w:pStyle w:val="ListBullet"/>
        <w:spacing w:after="40"/>
      </w:pPr>
      <w:r>
        <w:t>7. Migration from VMware and other hypervisors</w:t>
      </w:r>
    </w:p>
    <w:p w14:paraId="4C0F5372" w14:textId="77777777" w:rsidR="00087357" w:rsidRDefault="00000000">
      <w:pPr>
        <w:pStyle w:val="ListBullet"/>
        <w:spacing w:after="40"/>
      </w:pPr>
      <w:r>
        <w:t>8. Platform comparison</w:t>
      </w:r>
    </w:p>
    <w:p w14:paraId="03011C40" w14:textId="77777777" w:rsidR="00087357" w:rsidRDefault="00000000">
      <w:pPr>
        <w:pStyle w:val="ListBullet"/>
        <w:spacing w:after="40"/>
      </w:pPr>
      <w:r>
        <w:t>9. Deployment and operational recommendations</w:t>
      </w:r>
    </w:p>
    <w:p w14:paraId="5CA582F0" w14:textId="77777777" w:rsidR="00087357" w:rsidRDefault="00000000">
      <w:pPr>
        <w:pStyle w:val="ListBullet"/>
        <w:spacing w:after="40"/>
      </w:pPr>
      <w:r>
        <w:t>10. Risks and implementation roadmap</w:t>
      </w:r>
    </w:p>
    <w:p w14:paraId="549D1A2A" w14:textId="77777777" w:rsidR="00087357" w:rsidRDefault="00000000">
      <w:pPr>
        <w:pStyle w:val="ListBullet"/>
        <w:spacing w:after="40"/>
      </w:pPr>
      <w:r>
        <w:t>11. Final recommendation</w:t>
      </w:r>
    </w:p>
    <w:p w14:paraId="2A019A18" w14:textId="77777777" w:rsidR="00087357" w:rsidRDefault="00000000">
      <w:pPr>
        <w:pStyle w:val="ListBullet"/>
        <w:spacing w:after="40"/>
      </w:pPr>
      <w:r>
        <w:t>12. References</w:t>
      </w:r>
    </w:p>
    <w:p w14:paraId="1A816695" w14:textId="77777777" w:rsidR="00087357" w:rsidRDefault="00087357">
      <w:pPr>
        <w:pStyle w:val="ListBullet"/>
        <w:numPr>
          <w:ilvl w:val="0"/>
          <w:numId w:val="0"/>
        </w:numPr>
        <w:spacing w:after="40"/>
      </w:pPr>
    </w:p>
    <w:p w14:paraId="71493020" w14:textId="77777777" w:rsidR="00087357" w:rsidRDefault="00087357">
      <w:pPr>
        <w:pStyle w:val="ListBullet"/>
        <w:numPr>
          <w:ilvl w:val="0"/>
          <w:numId w:val="0"/>
        </w:numPr>
        <w:spacing w:after="40"/>
      </w:pPr>
    </w:p>
    <w:p w14:paraId="1FC83F34" w14:textId="77777777" w:rsidR="00087357" w:rsidRDefault="00087357">
      <w:pPr>
        <w:pStyle w:val="ListBullet"/>
        <w:numPr>
          <w:ilvl w:val="0"/>
          <w:numId w:val="0"/>
        </w:numPr>
        <w:spacing w:after="40"/>
      </w:pPr>
    </w:p>
    <w:p w14:paraId="602D5FDE" w14:textId="77777777" w:rsidR="00087357" w:rsidRDefault="00087357">
      <w:pPr>
        <w:pStyle w:val="ListBullet"/>
        <w:numPr>
          <w:ilvl w:val="0"/>
          <w:numId w:val="0"/>
        </w:numPr>
        <w:spacing w:after="40"/>
      </w:pPr>
    </w:p>
    <w:p w14:paraId="47C3A768" w14:textId="77777777" w:rsidR="00087357" w:rsidRDefault="00087357">
      <w:pPr>
        <w:pStyle w:val="ListBullet"/>
        <w:numPr>
          <w:ilvl w:val="0"/>
          <w:numId w:val="0"/>
        </w:numPr>
        <w:spacing w:after="40"/>
      </w:pPr>
    </w:p>
    <w:p w14:paraId="37FA1FDE" w14:textId="77777777" w:rsidR="00087357" w:rsidRDefault="00087357">
      <w:pPr>
        <w:pStyle w:val="ListBullet"/>
        <w:numPr>
          <w:ilvl w:val="0"/>
          <w:numId w:val="0"/>
        </w:numPr>
        <w:spacing w:after="40"/>
      </w:pPr>
    </w:p>
    <w:p w14:paraId="728BDC5A" w14:textId="77777777" w:rsidR="00082CB1" w:rsidRDefault="00082CB1">
      <w:pPr>
        <w:pStyle w:val="Heading1"/>
      </w:pPr>
    </w:p>
    <w:p w14:paraId="33DD1A7C" w14:textId="77777777" w:rsidR="00082CB1" w:rsidRDefault="00082CB1">
      <w:pPr>
        <w:pStyle w:val="Heading1"/>
      </w:pPr>
    </w:p>
    <w:p w14:paraId="11A54E62" w14:textId="7A9150FE" w:rsidR="00087357" w:rsidRDefault="00000000">
      <w:pPr>
        <w:pStyle w:val="Heading1"/>
      </w:pPr>
      <w:r>
        <w:t>1. Platform overview and architecture</w:t>
      </w:r>
    </w:p>
    <w:p w14:paraId="0DBCCB10" w14:textId="77777777" w:rsidR="00087357" w:rsidRDefault="00000000">
      <w:proofErr w:type="spellStart"/>
      <w:r>
        <w:t>oVirt</w:t>
      </w:r>
      <w:proofErr w:type="spellEnd"/>
      <w:r>
        <w:t xml:space="preserve"> provides centralized management for virtual machines running on KVM-based Linux hosts. The management plane is the </w:t>
      </w:r>
      <w:proofErr w:type="spellStart"/>
      <w:r>
        <w:t>oVirt</w:t>
      </w:r>
      <w:proofErr w:type="spellEnd"/>
      <w:r>
        <w:t xml:space="preserve"> Engine, which exposes a web administration interface and REST API. The compute plane consists of hosts running KVM/QEMU and the VDSM host agent. Shared or supported local storage holds VM disks and related data.</w:t>
      </w:r>
    </w:p>
    <w:p w14:paraId="1EC6E6E7" w14:textId="77777777" w:rsidR="00087357" w:rsidRDefault="0008735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4"/>
        <w:gridCol w:w="8026"/>
      </w:tblGrid>
      <w:tr w:rsidR="00087357" w14:paraId="09285C97" w14:textId="77777777">
        <w:trPr>
          <w:jc w:val="center"/>
        </w:trPr>
        <w:tc>
          <w:tcPr>
            <w:tcW w:w="2448" w:type="dxa"/>
            <w:shd w:val="clear" w:color="auto" w:fill="12304A"/>
            <w:vAlign w:val="center"/>
          </w:tcPr>
          <w:p w14:paraId="4F94E756" w14:textId="77777777" w:rsidR="00087357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w="8208" w:type="dxa"/>
            <w:shd w:val="clear" w:color="auto" w:fill="12304A"/>
            <w:vAlign w:val="center"/>
          </w:tcPr>
          <w:p w14:paraId="1E7BA9A8" w14:textId="77777777" w:rsidR="00087357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Role</w:t>
            </w:r>
          </w:p>
        </w:tc>
      </w:tr>
      <w:tr w:rsidR="00087357" w14:paraId="543AA5AA" w14:textId="77777777">
        <w:trPr>
          <w:jc w:val="center"/>
        </w:trPr>
        <w:tc>
          <w:tcPr>
            <w:tcW w:w="2448" w:type="dxa"/>
            <w:vAlign w:val="center"/>
          </w:tcPr>
          <w:p w14:paraId="6C74B610" w14:textId="77777777" w:rsidR="00087357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oVirt</w:t>
            </w:r>
            <w:proofErr w:type="spellEnd"/>
            <w:r>
              <w:rPr>
                <w:sz w:val="16"/>
              </w:rPr>
              <w:t xml:space="preserve"> Engine</w:t>
            </w:r>
          </w:p>
        </w:tc>
        <w:tc>
          <w:tcPr>
            <w:tcW w:w="8208" w:type="dxa"/>
            <w:vAlign w:val="center"/>
          </w:tcPr>
          <w:p w14:paraId="54798044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Central management service, web interface, REST API, inventory and orchestration.</w:t>
            </w:r>
          </w:p>
        </w:tc>
      </w:tr>
      <w:tr w:rsidR="00087357" w14:paraId="1608F1B8" w14:textId="77777777">
        <w:trPr>
          <w:jc w:val="center"/>
        </w:trPr>
        <w:tc>
          <w:tcPr>
            <w:tcW w:w="2448" w:type="dxa"/>
            <w:shd w:val="clear" w:color="auto" w:fill="F2F6F8"/>
            <w:vAlign w:val="center"/>
          </w:tcPr>
          <w:p w14:paraId="68F2595A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Virtualization host</w:t>
            </w:r>
          </w:p>
        </w:tc>
        <w:tc>
          <w:tcPr>
            <w:tcW w:w="8208" w:type="dxa"/>
            <w:shd w:val="clear" w:color="auto" w:fill="F2F6F8"/>
            <w:vAlign w:val="center"/>
          </w:tcPr>
          <w:p w14:paraId="345AAF6F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 xml:space="preserve">Runs KVM/QEMU virtual machines and VDSM, which </w:t>
            </w:r>
            <w:proofErr w:type="gramStart"/>
            <w:r>
              <w:rPr>
                <w:sz w:val="16"/>
              </w:rPr>
              <w:t>communicates</w:t>
            </w:r>
            <w:proofErr w:type="gramEnd"/>
            <w:r>
              <w:rPr>
                <w:sz w:val="16"/>
              </w:rPr>
              <w:t xml:space="preserve"> with the Engine.</w:t>
            </w:r>
          </w:p>
        </w:tc>
      </w:tr>
      <w:tr w:rsidR="00087357" w14:paraId="3FAA37BC" w14:textId="77777777">
        <w:trPr>
          <w:jc w:val="center"/>
        </w:trPr>
        <w:tc>
          <w:tcPr>
            <w:tcW w:w="2448" w:type="dxa"/>
            <w:vAlign w:val="center"/>
          </w:tcPr>
          <w:p w14:paraId="702DE2C1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Shared storage</w:t>
            </w:r>
          </w:p>
        </w:tc>
        <w:tc>
          <w:tcPr>
            <w:tcW w:w="8208" w:type="dxa"/>
            <w:vAlign w:val="center"/>
          </w:tcPr>
          <w:p w14:paraId="2B60E7D2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Stores VM disks and other storage-domain data; must be accessible according to the selected storage design.</w:t>
            </w:r>
          </w:p>
        </w:tc>
      </w:tr>
      <w:tr w:rsidR="00087357" w14:paraId="14FEA6A6" w14:textId="77777777">
        <w:trPr>
          <w:jc w:val="center"/>
        </w:trPr>
        <w:tc>
          <w:tcPr>
            <w:tcW w:w="2448" w:type="dxa"/>
            <w:shd w:val="clear" w:color="auto" w:fill="F2F6F8"/>
            <w:vAlign w:val="center"/>
          </w:tcPr>
          <w:p w14:paraId="0028F5FA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Data Warehouse</w:t>
            </w:r>
          </w:p>
        </w:tc>
        <w:tc>
          <w:tcPr>
            <w:tcW w:w="8208" w:type="dxa"/>
            <w:shd w:val="clear" w:color="auto" w:fill="F2F6F8"/>
            <w:vAlign w:val="center"/>
          </w:tcPr>
          <w:p w14:paraId="3E7120A8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Collects configuration and statistical information from the Engine.</w:t>
            </w:r>
          </w:p>
        </w:tc>
      </w:tr>
      <w:tr w:rsidR="00087357" w14:paraId="5A3C305A" w14:textId="77777777">
        <w:trPr>
          <w:jc w:val="center"/>
        </w:trPr>
        <w:tc>
          <w:tcPr>
            <w:tcW w:w="2448" w:type="dxa"/>
            <w:vAlign w:val="center"/>
          </w:tcPr>
          <w:p w14:paraId="084BF976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Self-hosted Engine VM</w:t>
            </w:r>
          </w:p>
        </w:tc>
        <w:tc>
          <w:tcPr>
            <w:tcW w:w="8208" w:type="dxa"/>
            <w:vAlign w:val="center"/>
          </w:tcPr>
          <w:p w14:paraId="65ADDE76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 xml:space="preserve">Runs the Engine as a VM managed by the same </w:t>
            </w:r>
            <w:proofErr w:type="spellStart"/>
            <w:r>
              <w:rPr>
                <w:sz w:val="16"/>
              </w:rPr>
              <w:t>oVirt</w:t>
            </w:r>
            <w:proofErr w:type="spellEnd"/>
            <w:r>
              <w:rPr>
                <w:sz w:val="16"/>
              </w:rPr>
              <w:t xml:space="preserve"> environment, with HA services on eligible hosts.</w:t>
            </w:r>
          </w:p>
        </w:tc>
      </w:tr>
    </w:tbl>
    <w:p w14:paraId="5217E494" w14:textId="77777777" w:rsidR="00087357" w:rsidRDefault="00087357">
      <w:pPr>
        <w:spacing w:after="20"/>
      </w:pPr>
    </w:p>
    <w:p w14:paraId="79A8F394" w14:textId="77777777" w:rsidR="00087357" w:rsidRDefault="00000000">
      <w:pPr>
        <w:pStyle w:val="Heading2"/>
      </w:pPr>
      <w:r>
        <w:t>Conceptual architecture</w:t>
      </w:r>
    </w:p>
    <w:p w14:paraId="2B29DA6B" w14:textId="77777777" w:rsidR="00082CB1" w:rsidRPr="00082CB1" w:rsidRDefault="00082CB1" w:rsidP="00082CB1"/>
    <w:p w14:paraId="7674E747" w14:textId="5C84F641" w:rsidR="00082CB1" w:rsidRPr="00082CB1" w:rsidRDefault="00082CB1" w:rsidP="00082CB1">
      <w:r>
        <w:rPr>
          <w:noProof/>
        </w:rPr>
        <w:drawing>
          <wp:inline distT="0" distB="0" distL="0" distR="0" wp14:anchorId="2EC04FB0" wp14:editId="34A4DFAE">
            <wp:extent cx="6492240" cy="2471420"/>
            <wp:effectExtent l="0" t="0" r="3810" b="5080"/>
            <wp:docPr id="347296416" name="Picture 1" descr="Self-Hosted Engine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lf-Hosted Engine Architectu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59E42" w14:textId="77777777" w:rsidR="00087357" w:rsidRDefault="00087357">
      <w:pPr>
        <w:pStyle w:val="Heading1"/>
      </w:pPr>
    </w:p>
    <w:p w14:paraId="2B87F83E" w14:textId="77777777" w:rsidR="00082CB1" w:rsidRDefault="00082CB1" w:rsidP="00082CB1"/>
    <w:p w14:paraId="512FA649" w14:textId="77777777" w:rsidR="00082CB1" w:rsidRDefault="00082CB1" w:rsidP="00082CB1"/>
    <w:p w14:paraId="4438EA7C" w14:textId="77777777" w:rsidR="00082CB1" w:rsidRDefault="00082CB1" w:rsidP="00082CB1"/>
    <w:p w14:paraId="4CDAF511" w14:textId="77777777" w:rsidR="00082CB1" w:rsidRDefault="00082CB1" w:rsidP="00082CB1"/>
    <w:p w14:paraId="017B22CE" w14:textId="77777777" w:rsidR="00082CB1" w:rsidRDefault="00082CB1" w:rsidP="00082CB1"/>
    <w:p w14:paraId="5E97AACF" w14:textId="77777777" w:rsidR="00082CB1" w:rsidRPr="00082CB1" w:rsidRDefault="00082CB1" w:rsidP="00082CB1"/>
    <w:p w14:paraId="5204FF1A" w14:textId="77777777" w:rsidR="00087357" w:rsidRDefault="00000000">
      <w:pPr>
        <w:pStyle w:val="Heading1"/>
      </w:pPr>
      <w:r>
        <w:lastRenderedPageBreak/>
        <w:t>2. Licensing and support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7"/>
        <w:gridCol w:w="2325"/>
        <w:gridCol w:w="2963"/>
        <w:gridCol w:w="3525"/>
      </w:tblGrid>
      <w:tr w:rsidR="00087357" w14:paraId="67BD8969" w14:textId="77777777">
        <w:trPr>
          <w:jc w:val="center"/>
        </w:trPr>
        <w:tc>
          <w:tcPr>
            <w:tcW w:w="1656" w:type="dxa"/>
            <w:shd w:val="clear" w:color="auto" w:fill="12304A"/>
            <w:vAlign w:val="center"/>
          </w:tcPr>
          <w:p w14:paraId="24BB59F8" w14:textId="77777777" w:rsidR="00087357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Platform</w:t>
            </w:r>
          </w:p>
        </w:tc>
        <w:tc>
          <w:tcPr>
            <w:tcW w:w="2376" w:type="dxa"/>
            <w:shd w:val="clear" w:color="auto" w:fill="12304A"/>
            <w:vAlign w:val="center"/>
          </w:tcPr>
          <w:p w14:paraId="42774A8C" w14:textId="77777777" w:rsidR="00087357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Licensing model</w:t>
            </w:r>
          </w:p>
        </w:tc>
        <w:tc>
          <w:tcPr>
            <w:tcW w:w="3024" w:type="dxa"/>
            <w:shd w:val="clear" w:color="auto" w:fill="12304A"/>
            <w:vAlign w:val="center"/>
          </w:tcPr>
          <w:p w14:paraId="7573B353" w14:textId="77777777" w:rsidR="00087357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Support model</w:t>
            </w:r>
          </w:p>
        </w:tc>
        <w:tc>
          <w:tcPr>
            <w:tcW w:w="3600" w:type="dxa"/>
            <w:shd w:val="clear" w:color="auto" w:fill="12304A"/>
            <w:vAlign w:val="center"/>
          </w:tcPr>
          <w:p w14:paraId="72B36884" w14:textId="77777777" w:rsidR="00087357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Key consideration</w:t>
            </w:r>
          </w:p>
        </w:tc>
      </w:tr>
      <w:tr w:rsidR="00087357" w14:paraId="53951BF9" w14:textId="77777777">
        <w:trPr>
          <w:jc w:val="center"/>
        </w:trPr>
        <w:tc>
          <w:tcPr>
            <w:tcW w:w="1656" w:type="dxa"/>
            <w:vAlign w:val="center"/>
          </w:tcPr>
          <w:p w14:paraId="6D4D6BEA" w14:textId="77777777" w:rsidR="00087357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oVirt</w:t>
            </w:r>
            <w:proofErr w:type="spellEnd"/>
          </w:p>
        </w:tc>
        <w:tc>
          <w:tcPr>
            <w:tcW w:w="2376" w:type="dxa"/>
            <w:vAlign w:val="center"/>
          </w:tcPr>
          <w:p w14:paraId="4E31E9FE" w14:textId="77777777" w:rsidR="00087357" w:rsidRDefault="00000000">
            <w:pPr>
              <w:spacing w:after="0" w:line="240" w:lineRule="auto"/>
            </w:pPr>
            <w:proofErr w:type="gramStart"/>
            <w:r>
              <w:rPr>
                <w:sz w:val="15"/>
              </w:rPr>
              <w:t>Open-source</w:t>
            </w:r>
            <w:proofErr w:type="gramEnd"/>
            <w:r>
              <w:rPr>
                <w:sz w:val="15"/>
              </w:rPr>
              <w:t>; no mandatory proprietary hypervisor license identified in the supplied notes.</w:t>
            </w:r>
          </w:p>
        </w:tc>
        <w:tc>
          <w:tcPr>
            <w:tcW w:w="3024" w:type="dxa"/>
            <w:vAlign w:val="center"/>
          </w:tcPr>
          <w:p w14:paraId="6BEA8405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 xml:space="preserve">Community and possible third-party support; RHEL subscription does not automatically include </w:t>
            </w:r>
            <w:proofErr w:type="spellStart"/>
            <w:r>
              <w:rPr>
                <w:sz w:val="15"/>
              </w:rPr>
              <w:t>oVirt</w:t>
            </w:r>
            <w:proofErr w:type="spellEnd"/>
            <w:r>
              <w:rPr>
                <w:sz w:val="15"/>
              </w:rPr>
              <w:t xml:space="preserve"> support.</w:t>
            </w:r>
          </w:p>
        </w:tc>
        <w:tc>
          <w:tcPr>
            <w:tcW w:w="3600" w:type="dxa"/>
            <w:vAlign w:val="center"/>
          </w:tcPr>
          <w:p w14:paraId="1ED7B059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>The operator owns lifecycle, patching, compatibility, and operational risk unless a support contract explicitly covers these.</w:t>
            </w:r>
          </w:p>
        </w:tc>
      </w:tr>
      <w:tr w:rsidR="00087357" w14:paraId="75946AFA" w14:textId="77777777">
        <w:trPr>
          <w:jc w:val="center"/>
        </w:trPr>
        <w:tc>
          <w:tcPr>
            <w:tcW w:w="1656" w:type="dxa"/>
            <w:shd w:val="clear" w:color="auto" w:fill="F2F6F8"/>
            <w:vAlign w:val="center"/>
          </w:tcPr>
          <w:p w14:paraId="1A5F10E7" w14:textId="77777777" w:rsidR="00087357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Proxmox</w:t>
            </w:r>
            <w:proofErr w:type="spellEnd"/>
            <w:r>
              <w:rPr>
                <w:sz w:val="15"/>
              </w:rPr>
              <w:t xml:space="preserve"> VE</w:t>
            </w:r>
          </w:p>
        </w:tc>
        <w:tc>
          <w:tcPr>
            <w:tcW w:w="2376" w:type="dxa"/>
            <w:shd w:val="clear" w:color="auto" w:fill="F2F6F8"/>
            <w:vAlign w:val="center"/>
          </w:tcPr>
          <w:p w14:paraId="4C18218B" w14:textId="77777777" w:rsidR="00087357" w:rsidRDefault="00000000">
            <w:pPr>
              <w:spacing w:after="0" w:line="240" w:lineRule="auto"/>
            </w:pPr>
            <w:proofErr w:type="gramStart"/>
            <w:r>
              <w:rPr>
                <w:sz w:val="15"/>
              </w:rPr>
              <w:t>Open-source</w:t>
            </w:r>
            <w:proofErr w:type="gramEnd"/>
            <w:r>
              <w:rPr>
                <w:sz w:val="15"/>
              </w:rPr>
              <w:t xml:space="preserve"> with optional paid subscription.</w:t>
            </w:r>
          </w:p>
        </w:tc>
        <w:tc>
          <w:tcPr>
            <w:tcW w:w="3024" w:type="dxa"/>
            <w:shd w:val="clear" w:color="auto" w:fill="F2F6F8"/>
            <w:vAlign w:val="center"/>
          </w:tcPr>
          <w:p w14:paraId="54CBB11B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>Community forum and paid subscription support.</w:t>
            </w:r>
          </w:p>
        </w:tc>
        <w:tc>
          <w:tcPr>
            <w:tcW w:w="3600" w:type="dxa"/>
            <w:shd w:val="clear" w:color="auto" w:fill="F2F6F8"/>
            <w:vAlign w:val="center"/>
          </w:tcPr>
          <w:p w14:paraId="255629F5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>Confirm current subscription prices and support conditions on the official pricing page.</w:t>
            </w:r>
          </w:p>
        </w:tc>
      </w:tr>
      <w:tr w:rsidR="00087357" w14:paraId="308818BF" w14:textId="77777777">
        <w:trPr>
          <w:jc w:val="center"/>
        </w:trPr>
        <w:tc>
          <w:tcPr>
            <w:tcW w:w="1656" w:type="dxa"/>
            <w:vAlign w:val="center"/>
          </w:tcPr>
          <w:p w14:paraId="59D8E3E4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>HPE VM Essentials</w:t>
            </w:r>
          </w:p>
        </w:tc>
        <w:tc>
          <w:tcPr>
            <w:tcW w:w="2376" w:type="dxa"/>
            <w:vAlign w:val="center"/>
          </w:tcPr>
          <w:p w14:paraId="70AB9165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>Commercial.</w:t>
            </w:r>
          </w:p>
        </w:tc>
        <w:tc>
          <w:tcPr>
            <w:tcW w:w="3024" w:type="dxa"/>
            <w:vAlign w:val="center"/>
          </w:tcPr>
          <w:p w14:paraId="00F5BB4B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>HPE enterprise support options.</w:t>
            </w:r>
          </w:p>
        </w:tc>
        <w:tc>
          <w:tcPr>
            <w:tcW w:w="3600" w:type="dxa"/>
            <w:vAlign w:val="center"/>
          </w:tcPr>
          <w:p w14:paraId="6E1ED96D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>Confirm supported hardware, subscription terms, and exact VMware integration/conversion capabilities.</w:t>
            </w:r>
          </w:p>
        </w:tc>
      </w:tr>
      <w:tr w:rsidR="00087357" w14:paraId="203986F2" w14:textId="77777777">
        <w:trPr>
          <w:jc w:val="center"/>
        </w:trPr>
        <w:tc>
          <w:tcPr>
            <w:tcW w:w="1656" w:type="dxa"/>
            <w:shd w:val="clear" w:color="auto" w:fill="F2F6F8"/>
            <w:vAlign w:val="center"/>
          </w:tcPr>
          <w:p w14:paraId="702A16D9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>VMware vSphere</w:t>
            </w:r>
          </w:p>
        </w:tc>
        <w:tc>
          <w:tcPr>
            <w:tcW w:w="2376" w:type="dxa"/>
            <w:shd w:val="clear" w:color="auto" w:fill="F2F6F8"/>
            <w:vAlign w:val="center"/>
          </w:tcPr>
          <w:p w14:paraId="19BB7D44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>Commercial subscription model.</w:t>
            </w:r>
          </w:p>
        </w:tc>
        <w:tc>
          <w:tcPr>
            <w:tcW w:w="3024" w:type="dxa"/>
            <w:shd w:val="clear" w:color="auto" w:fill="F2F6F8"/>
            <w:vAlign w:val="center"/>
          </w:tcPr>
          <w:p w14:paraId="48C16C0D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>VMware/Broadcom and authorized partner support, subject to contract.</w:t>
            </w:r>
          </w:p>
        </w:tc>
        <w:tc>
          <w:tcPr>
            <w:tcW w:w="3600" w:type="dxa"/>
            <w:shd w:val="clear" w:color="auto" w:fill="F2F6F8"/>
            <w:vAlign w:val="center"/>
          </w:tcPr>
          <w:p w14:paraId="3F5AFA1A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>Evaluate subscription costs and edition-specific features.</w:t>
            </w:r>
          </w:p>
        </w:tc>
      </w:tr>
    </w:tbl>
    <w:p w14:paraId="59FAC109" w14:textId="77777777" w:rsidR="00087357" w:rsidRDefault="00087357">
      <w:pPr>
        <w:spacing w:after="20"/>
      </w:pPr>
    </w:p>
    <w:p w14:paraId="03CC6F48" w14:textId="77777777" w:rsidR="00087357" w:rsidRDefault="00000000">
      <w:r w:rsidRPr="00082CB1">
        <w:rPr>
          <w:b/>
          <w:bCs/>
        </w:rPr>
        <w:t xml:space="preserve">Important distinction: A Red Hat subscription can provide support and updates for eligible RHEL components, but running </w:t>
      </w:r>
      <w:proofErr w:type="spellStart"/>
      <w:r w:rsidRPr="00082CB1">
        <w:rPr>
          <w:b/>
          <w:bCs/>
        </w:rPr>
        <w:t>oVirt</w:t>
      </w:r>
      <w:proofErr w:type="spellEnd"/>
      <w:r w:rsidRPr="00082CB1">
        <w:rPr>
          <w:b/>
          <w:bCs/>
        </w:rPr>
        <w:t xml:space="preserve"> on RHEL does not automatically make </w:t>
      </w:r>
      <w:proofErr w:type="spellStart"/>
      <w:r w:rsidRPr="00082CB1">
        <w:rPr>
          <w:b/>
          <w:bCs/>
        </w:rPr>
        <w:t>oVirt</w:t>
      </w:r>
      <w:proofErr w:type="spellEnd"/>
      <w:r w:rsidRPr="00082CB1">
        <w:rPr>
          <w:b/>
          <w:bCs/>
        </w:rPr>
        <w:t xml:space="preserve"> itself a Red Hat-supported product. Confirm the exact support scope in writing with the provider</w:t>
      </w:r>
      <w:r>
        <w:t>.</w:t>
      </w:r>
    </w:p>
    <w:p w14:paraId="54D5DE0B" w14:textId="77777777" w:rsidR="00087357" w:rsidRDefault="00087357">
      <w:pPr>
        <w:pStyle w:val="Heading1"/>
      </w:pPr>
    </w:p>
    <w:p w14:paraId="2BB43160" w14:textId="77777777" w:rsidR="00087357" w:rsidRDefault="00087357">
      <w:pPr>
        <w:pStyle w:val="Heading1"/>
      </w:pPr>
    </w:p>
    <w:p w14:paraId="3AD70080" w14:textId="77777777" w:rsidR="00087357" w:rsidRDefault="00000000">
      <w:pPr>
        <w:pStyle w:val="Heading1"/>
      </w:pPr>
      <w:r>
        <w:t>3. Release status and operating-system lifecycle</w:t>
      </w:r>
    </w:p>
    <w:p w14:paraId="653AF30F" w14:textId="77777777" w:rsidR="00087357" w:rsidRDefault="00000000">
      <w:r>
        <w:t xml:space="preserve">The supplied notes identify </w:t>
      </w:r>
      <w:proofErr w:type="spellStart"/>
      <w:r>
        <w:t>oVirt</w:t>
      </w:r>
      <w:proofErr w:type="spellEnd"/>
      <w:r>
        <w:t xml:space="preserve"> 4.5.7 as the release referenced by the source material and state that its compatibility must be checked against the intended Engine and host operating systems. Do not treat a version mentioned in the notes as proof that it is the latest or fully supported release on the deployment date.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4365"/>
        <w:gridCol w:w="4090"/>
      </w:tblGrid>
      <w:tr w:rsidR="00087357" w14:paraId="09D231EF" w14:textId="77777777">
        <w:trPr>
          <w:jc w:val="center"/>
        </w:trPr>
        <w:tc>
          <w:tcPr>
            <w:tcW w:w="2016" w:type="dxa"/>
            <w:shd w:val="clear" w:color="auto" w:fill="12304A"/>
            <w:vAlign w:val="center"/>
          </w:tcPr>
          <w:p w14:paraId="218B6802" w14:textId="77777777" w:rsidR="00087357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Operating system / platform</w:t>
            </w:r>
          </w:p>
        </w:tc>
        <w:tc>
          <w:tcPr>
            <w:tcW w:w="4464" w:type="dxa"/>
            <w:shd w:val="clear" w:color="auto" w:fill="12304A"/>
            <w:vAlign w:val="center"/>
          </w:tcPr>
          <w:p w14:paraId="7C21DB3B" w14:textId="77777777" w:rsidR="00087357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Notes from supplied material</w:t>
            </w:r>
          </w:p>
        </w:tc>
        <w:tc>
          <w:tcPr>
            <w:tcW w:w="4176" w:type="dxa"/>
            <w:shd w:val="clear" w:color="auto" w:fill="12304A"/>
            <w:vAlign w:val="center"/>
          </w:tcPr>
          <w:p w14:paraId="39E463B7" w14:textId="77777777" w:rsidR="00087357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Required validation</w:t>
            </w:r>
          </w:p>
        </w:tc>
      </w:tr>
      <w:tr w:rsidR="00087357" w14:paraId="4F647C8E" w14:textId="77777777">
        <w:trPr>
          <w:jc w:val="center"/>
        </w:trPr>
        <w:tc>
          <w:tcPr>
            <w:tcW w:w="2016" w:type="dxa"/>
            <w:vAlign w:val="center"/>
          </w:tcPr>
          <w:p w14:paraId="5FD2581E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>CentOS Stream 9</w:t>
            </w:r>
          </w:p>
        </w:tc>
        <w:tc>
          <w:tcPr>
            <w:tcW w:w="4464" w:type="dxa"/>
            <w:vAlign w:val="center"/>
          </w:tcPr>
          <w:p w14:paraId="238B5CE1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>Security updates are available during its lifecycle; supplied notes list EOL as 31 May 2027.</w:t>
            </w:r>
          </w:p>
        </w:tc>
        <w:tc>
          <w:tcPr>
            <w:tcW w:w="4176" w:type="dxa"/>
            <w:vAlign w:val="center"/>
          </w:tcPr>
          <w:p w14:paraId="3476DF62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 xml:space="preserve">Verify lifecycle date, enabled repositories, and exact </w:t>
            </w:r>
            <w:proofErr w:type="spellStart"/>
            <w:r>
              <w:rPr>
                <w:sz w:val="15"/>
              </w:rPr>
              <w:t>oVirt</w:t>
            </w:r>
            <w:proofErr w:type="spellEnd"/>
            <w:r>
              <w:rPr>
                <w:sz w:val="15"/>
              </w:rPr>
              <w:t xml:space="preserve"> Engine/host support.</w:t>
            </w:r>
          </w:p>
        </w:tc>
      </w:tr>
      <w:tr w:rsidR="00087357" w14:paraId="475A13B9" w14:textId="77777777">
        <w:trPr>
          <w:jc w:val="center"/>
        </w:trPr>
        <w:tc>
          <w:tcPr>
            <w:tcW w:w="2016" w:type="dxa"/>
            <w:shd w:val="clear" w:color="auto" w:fill="F2F6F8"/>
            <w:vAlign w:val="center"/>
          </w:tcPr>
          <w:p w14:paraId="5D0B3823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>CentOS Stream 10</w:t>
            </w:r>
          </w:p>
        </w:tc>
        <w:tc>
          <w:tcPr>
            <w:tcW w:w="4464" w:type="dxa"/>
            <w:shd w:val="clear" w:color="auto" w:fill="F2F6F8"/>
            <w:vAlign w:val="center"/>
          </w:tcPr>
          <w:p w14:paraId="12758DC7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>Security updates are available during its lifecycle; supplied notes give an approximate lifecycle end around 2030.</w:t>
            </w:r>
          </w:p>
        </w:tc>
        <w:tc>
          <w:tcPr>
            <w:tcW w:w="4176" w:type="dxa"/>
            <w:shd w:val="clear" w:color="auto" w:fill="F2F6F8"/>
            <w:vAlign w:val="center"/>
          </w:tcPr>
          <w:p w14:paraId="42CCD6D2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 xml:space="preserve">Confirm the official lifecycle date and exact compatibility for the chosen </w:t>
            </w:r>
            <w:proofErr w:type="spellStart"/>
            <w:r>
              <w:rPr>
                <w:sz w:val="15"/>
              </w:rPr>
              <w:t>oVirt</w:t>
            </w:r>
            <w:proofErr w:type="spellEnd"/>
            <w:r>
              <w:rPr>
                <w:sz w:val="15"/>
              </w:rPr>
              <w:t xml:space="preserve"> release.</w:t>
            </w:r>
          </w:p>
        </w:tc>
      </w:tr>
      <w:tr w:rsidR="00087357" w14:paraId="0821225B" w14:textId="77777777">
        <w:trPr>
          <w:jc w:val="center"/>
        </w:trPr>
        <w:tc>
          <w:tcPr>
            <w:tcW w:w="2016" w:type="dxa"/>
            <w:vAlign w:val="center"/>
          </w:tcPr>
          <w:p w14:paraId="65B38D73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>RHEL 9 / RHEL 10</w:t>
            </w:r>
          </w:p>
        </w:tc>
        <w:tc>
          <w:tcPr>
            <w:tcW w:w="4464" w:type="dxa"/>
            <w:vAlign w:val="center"/>
          </w:tcPr>
          <w:p w14:paraId="34466E89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 xml:space="preserve">Supplied notes state that </w:t>
            </w:r>
            <w:proofErr w:type="spellStart"/>
            <w:r>
              <w:rPr>
                <w:sz w:val="15"/>
              </w:rPr>
              <w:t>oVirt</w:t>
            </w:r>
            <w:proofErr w:type="spellEnd"/>
            <w:r>
              <w:rPr>
                <w:sz w:val="15"/>
              </w:rPr>
              <w:t xml:space="preserve"> 4.5.7 supports these as Engine/host platforms.</w:t>
            </w:r>
          </w:p>
        </w:tc>
        <w:tc>
          <w:tcPr>
            <w:tcW w:w="4176" w:type="dxa"/>
            <w:vAlign w:val="center"/>
          </w:tcPr>
          <w:p w14:paraId="0D0B5DFB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 xml:space="preserve">Confirm the current official </w:t>
            </w:r>
            <w:proofErr w:type="spellStart"/>
            <w:r>
              <w:rPr>
                <w:sz w:val="15"/>
              </w:rPr>
              <w:t>oVirt</w:t>
            </w:r>
            <w:proofErr w:type="spellEnd"/>
            <w:r>
              <w:rPr>
                <w:sz w:val="15"/>
              </w:rPr>
              <w:t xml:space="preserve"> support matrix and Red Hat subscription scope.</w:t>
            </w:r>
          </w:p>
        </w:tc>
      </w:tr>
      <w:tr w:rsidR="00087357" w14:paraId="7731B757" w14:textId="77777777">
        <w:trPr>
          <w:jc w:val="center"/>
        </w:trPr>
        <w:tc>
          <w:tcPr>
            <w:tcW w:w="2016" w:type="dxa"/>
            <w:shd w:val="clear" w:color="auto" w:fill="F2F6F8"/>
            <w:vAlign w:val="center"/>
          </w:tcPr>
          <w:p w14:paraId="7A2FAB10" w14:textId="77777777" w:rsidR="00087357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oVirt</w:t>
            </w:r>
            <w:proofErr w:type="spellEnd"/>
            <w:r>
              <w:rPr>
                <w:sz w:val="15"/>
              </w:rPr>
              <w:t xml:space="preserve"> Node NG</w:t>
            </w:r>
          </w:p>
        </w:tc>
        <w:tc>
          <w:tcPr>
            <w:tcW w:w="4464" w:type="dxa"/>
            <w:shd w:val="clear" w:color="auto" w:fill="F2F6F8"/>
            <w:vAlign w:val="center"/>
          </w:tcPr>
          <w:p w14:paraId="11C272E3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>Supplied notes flag the Node image as technology preview / recommend validating its status.</w:t>
            </w:r>
          </w:p>
        </w:tc>
        <w:tc>
          <w:tcPr>
            <w:tcW w:w="4176" w:type="dxa"/>
            <w:shd w:val="clear" w:color="auto" w:fill="F2F6F8"/>
            <w:vAlign w:val="center"/>
          </w:tcPr>
          <w:p w14:paraId="6BBE1B7F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>Verify current image availability, maintenance, and security update status before production use.</w:t>
            </w:r>
          </w:p>
        </w:tc>
      </w:tr>
      <w:tr w:rsidR="00087357" w14:paraId="1C084D0F" w14:textId="77777777">
        <w:trPr>
          <w:jc w:val="center"/>
        </w:trPr>
        <w:tc>
          <w:tcPr>
            <w:tcW w:w="2016" w:type="dxa"/>
            <w:vAlign w:val="center"/>
          </w:tcPr>
          <w:p w14:paraId="49538D80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>Other RHEL derivatives</w:t>
            </w:r>
          </w:p>
        </w:tc>
        <w:tc>
          <w:tcPr>
            <w:tcW w:w="4464" w:type="dxa"/>
            <w:vAlign w:val="center"/>
          </w:tcPr>
          <w:p w14:paraId="25683BF2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>Support is not assumed merely because a distribution is RHEL-compatible.</w:t>
            </w:r>
          </w:p>
        </w:tc>
        <w:tc>
          <w:tcPr>
            <w:tcW w:w="4176" w:type="dxa"/>
            <w:vAlign w:val="center"/>
          </w:tcPr>
          <w:p w14:paraId="2AD08197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>Require explicit upstream or vendor documentation for the exact release.</w:t>
            </w:r>
          </w:p>
        </w:tc>
      </w:tr>
    </w:tbl>
    <w:p w14:paraId="0580EBB4" w14:textId="77777777" w:rsidR="00087357" w:rsidRDefault="00087357">
      <w:pPr>
        <w:spacing w:after="20"/>
      </w:pPr>
    </w:p>
    <w:p w14:paraId="3DDF1528" w14:textId="77777777" w:rsidR="00087357" w:rsidRDefault="00000000">
      <w:pPr>
        <w:pStyle w:val="Heading2"/>
      </w:pPr>
      <w:r>
        <w:t>CentOS Stream and EOL implications</w:t>
      </w:r>
    </w:p>
    <w:p w14:paraId="323B8549" w14:textId="77777777" w:rsidR="00087357" w:rsidRDefault="00000000">
      <w:pPr>
        <w:pStyle w:val="ListBullet"/>
        <w:spacing w:after="40"/>
      </w:pPr>
      <w:r>
        <w:t>CentOS Stream is distinct from the discontinued CentOS Linux release model; use the lifecycle page for exact dates.</w:t>
      </w:r>
    </w:p>
    <w:p w14:paraId="30750E9F" w14:textId="77777777" w:rsidR="00087357" w:rsidRDefault="00000000">
      <w:pPr>
        <w:pStyle w:val="ListBullet"/>
        <w:spacing w:after="40"/>
      </w:pPr>
      <w:r>
        <w:t xml:space="preserve">An OS receiving security updates does not guarantee that all </w:t>
      </w:r>
      <w:proofErr w:type="spellStart"/>
      <w:r>
        <w:t>oVirt</w:t>
      </w:r>
      <w:proofErr w:type="spellEnd"/>
      <w:r>
        <w:t xml:space="preserve"> Engine, VDSM, QEMU, </w:t>
      </w:r>
      <w:proofErr w:type="spellStart"/>
      <w:r>
        <w:t>libvirt</w:t>
      </w:r>
      <w:proofErr w:type="spellEnd"/>
      <w:r>
        <w:t>, or third-party dependencies are patched.</w:t>
      </w:r>
    </w:p>
    <w:p w14:paraId="15BEC015" w14:textId="77777777" w:rsidR="00087357" w:rsidRDefault="00000000">
      <w:pPr>
        <w:pStyle w:val="ListBullet"/>
        <w:spacing w:after="40"/>
      </w:pPr>
      <w:r>
        <w:t>After OS end of life, repositories and security fixes may become unavailable or change; compatibility and audit risk increases.</w:t>
      </w:r>
    </w:p>
    <w:p w14:paraId="51DBA2B2" w14:textId="77777777" w:rsidR="00087357" w:rsidRDefault="00000000">
      <w:pPr>
        <w:pStyle w:val="ListBullet"/>
        <w:spacing w:after="40"/>
      </w:pPr>
      <w:r>
        <w:t xml:space="preserve">Plan migration before EOL and verify whether a supported in-place upgrade exists. Do not assume an in-place upgrade is supported for every </w:t>
      </w:r>
      <w:proofErr w:type="spellStart"/>
      <w:r>
        <w:t>oVirt</w:t>
      </w:r>
      <w:proofErr w:type="spellEnd"/>
      <w:r>
        <w:t xml:space="preserve"> deployment.</w:t>
      </w:r>
    </w:p>
    <w:p w14:paraId="71FD61ED" w14:textId="77777777" w:rsidR="00087357" w:rsidRDefault="00000000">
      <w:pPr>
        <w:pStyle w:val="ListBullet"/>
        <w:spacing w:after="40"/>
      </w:pPr>
      <w:r>
        <w:t>Use the operating system's own repository and update process. Red Hat CDN/Satellite registration applies to eligible Red Hat subscriptions; CentOS Stream normally uses its applicable CentOS repositories.</w:t>
      </w:r>
    </w:p>
    <w:p w14:paraId="20A2A415" w14:textId="77777777" w:rsidR="00087357" w:rsidRDefault="00000000">
      <w:pPr>
        <w:pStyle w:val="Heading1"/>
      </w:pPr>
      <w:r>
        <w:lastRenderedPageBreak/>
        <w:t>4. Security and patching</w:t>
      </w:r>
    </w:p>
    <w:p w14:paraId="1A7D6B29" w14:textId="77777777" w:rsidR="00087357" w:rsidRDefault="00000000">
      <w:r>
        <w:t xml:space="preserve">A secure </w:t>
      </w:r>
      <w:proofErr w:type="spellStart"/>
      <w:r>
        <w:t>oVirt</w:t>
      </w:r>
      <w:proofErr w:type="spellEnd"/>
      <w:r>
        <w:t xml:space="preserve"> deployment needs a maintained host operating system and timely updates for the full virtualization stack. The supplied notes do not include a verified, current CVE-by-CVE inventory, so this document does not claim that any </w:t>
      </w:r>
      <w:proofErr w:type="gramStart"/>
      <w:r>
        <w:t>particular CVE</w:t>
      </w:r>
      <w:proofErr w:type="gramEnd"/>
      <w:r>
        <w:t xml:space="preserve"> is currently open or fixed. Build a live vulnerability register from official CVE records and component advisories before go-live.</w:t>
      </w:r>
    </w:p>
    <w:p w14:paraId="5884B9D7" w14:textId="77777777" w:rsidR="00087357" w:rsidRDefault="00000000">
      <w:pPr>
        <w:pStyle w:val="Heading2"/>
      </w:pPr>
      <w:r>
        <w:t>Security checklist</w:t>
      </w:r>
    </w:p>
    <w:p w14:paraId="76DA64EA" w14:textId="77777777" w:rsidR="00087357" w:rsidRDefault="00000000">
      <w:pPr>
        <w:pStyle w:val="ListBullet"/>
        <w:spacing w:after="40"/>
      </w:pPr>
      <w:r>
        <w:t xml:space="preserve">Keep the OS, </w:t>
      </w:r>
      <w:proofErr w:type="spellStart"/>
      <w:r>
        <w:t>oVirt</w:t>
      </w:r>
      <w:proofErr w:type="spellEnd"/>
      <w:r>
        <w:t xml:space="preserve"> Engine, VDSM, QEMU, </w:t>
      </w:r>
      <w:proofErr w:type="spellStart"/>
      <w:r>
        <w:t>libvirt</w:t>
      </w:r>
      <w:proofErr w:type="spellEnd"/>
      <w:r>
        <w:t>, kernel, and other dependencies patched through their supported repositories and documented procedures.</w:t>
      </w:r>
    </w:p>
    <w:p w14:paraId="335E4FDB" w14:textId="77777777" w:rsidR="00087357" w:rsidRDefault="00000000">
      <w:pPr>
        <w:pStyle w:val="ListBullet"/>
        <w:spacing w:after="40"/>
      </w:pPr>
      <w:r>
        <w:t xml:space="preserve">Verify that the chosen </w:t>
      </w:r>
      <w:proofErr w:type="spellStart"/>
      <w:r>
        <w:t>oVirt</w:t>
      </w:r>
      <w:proofErr w:type="spellEnd"/>
      <w:r>
        <w:t xml:space="preserve"> release and host OS are actively maintained and compatible.</w:t>
      </w:r>
    </w:p>
    <w:p w14:paraId="442A5F4C" w14:textId="77777777" w:rsidR="00087357" w:rsidRDefault="00000000">
      <w:pPr>
        <w:pStyle w:val="ListBullet"/>
        <w:spacing w:after="40"/>
      </w:pPr>
      <w:r>
        <w:t xml:space="preserve">Keep HTTPS, </w:t>
      </w:r>
      <w:proofErr w:type="spellStart"/>
      <w:r>
        <w:t>SELinux</w:t>
      </w:r>
      <w:proofErr w:type="spellEnd"/>
      <w:r>
        <w:t xml:space="preserve">, and </w:t>
      </w:r>
      <w:proofErr w:type="spellStart"/>
      <w:r>
        <w:t>firewalld</w:t>
      </w:r>
      <w:proofErr w:type="spellEnd"/>
      <w:r>
        <w:t xml:space="preserve"> enabled; change firewall rules through the supported management workflow where applicable.</w:t>
      </w:r>
    </w:p>
    <w:p w14:paraId="2896BF2D" w14:textId="77777777" w:rsidR="00087357" w:rsidRDefault="00000000">
      <w:pPr>
        <w:pStyle w:val="ListBullet"/>
        <w:spacing w:after="40"/>
      </w:pPr>
      <w:r>
        <w:t>Use individual administrator accounts, role-based permissions, strong authentication, and least privilege.</w:t>
      </w:r>
    </w:p>
    <w:p w14:paraId="3A30EFA6" w14:textId="77777777" w:rsidR="00087357" w:rsidRDefault="00000000">
      <w:pPr>
        <w:pStyle w:val="ListBullet"/>
        <w:spacing w:after="40"/>
      </w:pPr>
      <w:r>
        <w:t>Restrict SSH and host access; do not share root credentials or create untrusted host users.</w:t>
      </w:r>
    </w:p>
    <w:p w14:paraId="02668608" w14:textId="77777777" w:rsidR="00087357" w:rsidRDefault="00000000">
      <w:pPr>
        <w:pStyle w:val="ListBullet"/>
        <w:spacing w:after="40"/>
      </w:pPr>
      <w:r>
        <w:t>Install only packages and services required for virtualization, security, performance, and monitoring.</w:t>
      </w:r>
    </w:p>
    <w:p w14:paraId="32308266" w14:textId="77777777" w:rsidR="00087357" w:rsidRDefault="00000000">
      <w:pPr>
        <w:pStyle w:val="ListBullet"/>
        <w:spacing w:after="40"/>
      </w:pPr>
      <w:r>
        <w:t xml:space="preserve">Monitor </w:t>
      </w:r>
      <w:proofErr w:type="spellStart"/>
      <w:r>
        <w:t>oVirt</w:t>
      </w:r>
      <w:proofErr w:type="spellEnd"/>
      <w:r>
        <w:t xml:space="preserve"> advisories, OS errata, and relevant CVEs; record affected versions, fixed versions, severity, and remediation.</w:t>
      </w:r>
    </w:p>
    <w:p w14:paraId="0A076451" w14:textId="77777777" w:rsidR="00087357" w:rsidRDefault="00000000">
      <w:pPr>
        <w:pStyle w:val="ListBullet"/>
        <w:spacing w:after="40"/>
      </w:pPr>
      <w:r>
        <w:t>Back up Engine configuration and database, store backups separately, and test recovery.</w:t>
      </w:r>
    </w:p>
    <w:p w14:paraId="58A03910" w14:textId="77777777" w:rsidR="00087357" w:rsidRDefault="00000000">
      <w:r>
        <w:t>CVE status limitation: A CVE being disclosed does not prove that a particular deployment is vulnerable. Exposure depends on the installed package build, configuration, and available fixes.</w:t>
      </w:r>
    </w:p>
    <w:p w14:paraId="15B9F926" w14:textId="77777777" w:rsidR="00087357" w:rsidRDefault="00000000">
      <w:pPr>
        <w:pStyle w:val="Heading1"/>
      </w:pPr>
      <w:r>
        <w:t>5. Cluster, high availability, and self-hosted Engine</w:t>
      </w:r>
    </w:p>
    <w:p w14:paraId="1A97F495" w14:textId="77777777" w:rsidR="00087357" w:rsidRDefault="00000000">
      <w:proofErr w:type="spellStart"/>
      <w:r>
        <w:t>oVirt</w:t>
      </w:r>
      <w:proofErr w:type="spellEnd"/>
      <w:r>
        <w:t xml:space="preserve"> organizes resources into data centers and clusters. Hosts provide compute capacity; the Engine schedules and manages VMs. Live migration moves a running VM between compatible hosts when CPU, network, storage, and configuration prerequisites are met. High availability restarts eligible VMs after a host failure; it is not the same as live migration.</w:t>
      </w:r>
    </w:p>
    <w:p w14:paraId="528EC06F" w14:textId="77777777" w:rsidR="00087357" w:rsidRDefault="00000000">
      <w:pPr>
        <w:pStyle w:val="Heading2"/>
      </w:pPr>
      <w:r>
        <w:t>Self-hosted Engine model</w:t>
      </w:r>
    </w:p>
    <w:p w14:paraId="49794707" w14:textId="77777777" w:rsidR="00087357" w:rsidRDefault="00000000">
      <w:pPr>
        <w:pStyle w:val="ListBullet"/>
        <w:spacing w:after="40"/>
      </w:pPr>
      <w:r>
        <w:t>The Engine runs inside a VM on designated self-hosted Engine nodes in the environment it manages.</w:t>
      </w:r>
    </w:p>
    <w:p w14:paraId="4CA6B62D" w14:textId="77777777" w:rsidR="00087357" w:rsidRDefault="00000000">
      <w:pPr>
        <w:pStyle w:val="ListBullet"/>
        <w:spacing w:after="40"/>
      </w:pPr>
      <w:r>
        <w:t>The supplied notes specify a minimum of two self-hosted Engine nodes for VM high availability.</w:t>
      </w:r>
    </w:p>
    <w:p w14:paraId="32A7C5FF" w14:textId="77777777" w:rsidR="00087357" w:rsidRDefault="00000000">
      <w:pPr>
        <w:pStyle w:val="ListBullet"/>
        <w:spacing w:after="40"/>
      </w:pPr>
      <w:r>
        <w:t>The Engine VM uses dedicated self-hosted Engine storage; do not store unrelated VMs on that storage domain.</w:t>
      </w:r>
    </w:p>
    <w:p w14:paraId="6963A5D2" w14:textId="77777777" w:rsidR="00087357" w:rsidRDefault="00000000">
      <w:pPr>
        <w:pStyle w:val="ListBullet"/>
        <w:spacing w:after="40"/>
      </w:pPr>
      <w:r>
        <w:t>All eligible hosts must have access to the selected storage service.</w:t>
      </w:r>
    </w:p>
    <w:p w14:paraId="2EDD4F7E" w14:textId="77777777" w:rsidR="00087357" w:rsidRDefault="00000000">
      <w:pPr>
        <w:pStyle w:val="ListBullet"/>
        <w:spacing w:after="40"/>
      </w:pPr>
      <w:r>
        <w:t>Configure fencing so that failed or isolated hosts can be safely isolated before workloads are restarted elsewhere.</w:t>
      </w:r>
    </w:p>
    <w:p w14:paraId="7B3F6551" w14:textId="77777777" w:rsidR="00087357" w:rsidRDefault="00000000">
      <w:pPr>
        <w:pStyle w:val="ListBullet"/>
        <w:spacing w:after="40"/>
      </w:pPr>
      <w:r>
        <w:t>Keep CPU families compatible across self-hosted Engine nodes and ensure enough spare memory and CPU capacity for Engine restart or migration.</w:t>
      </w:r>
    </w:p>
    <w:p w14:paraId="4A1EDEBE" w14:textId="77777777" w:rsidR="00087357" w:rsidRDefault="00000000">
      <w:pPr>
        <w:pStyle w:val="ListBullet"/>
        <w:spacing w:after="40"/>
      </w:pPr>
      <w:r>
        <w:t>For larger environments, consider a separate data center/cluster for the Engine and infrastructure services, subject to the deployment guide.</w:t>
      </w:r>
    </w:p>
    <w:p w14:paraId="1D5404DA" w14:textId="77777777" w:rsidR="00087357" w:rsidRDefault="00000000">
      <w:pPr>
        <w:pStyle w:val="Heading2"/>
      </w:pPr>
      <w:r>
        <w:t xml:space="preserve">Failure </w:t>
      </w:r>
      <w:proofErr w:type="spellStart"/>
      <w:r>
        <w:t>behaviour</w:t>
      </w:r>
      <w:proofErr w:type="spellEnd"/>
      <w:r>
        <w:t xml:space="preserve"> to test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3"/>
        <w:gridCol w:w="8167"/>
      </w:tblGrid>
      <w:tr w:rsidR="00087357" w14:paraId="0D16E05D" w14:textId="77777777">
        <w:trPr>
          <w:jc w:val="center"/>
        </w:trPr>
        <w:tc>
          <w:tcPr>
            <w:tcW w:w="2304" w:type="dxa"/>
            <w:shd w:val="clear" w:color="auto" w:fill="12304A"/>
            <w:vAlign w:val="center"/>
          </w:tcPr>
          <w:p w14:paraId="3B4AF344" w14:textId="77777777" w:rsidR="00087357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w="8352" w:type="dxa"/>
            <w:shd w:val="clear" w:color="auto" w:fill="12304A"/>
            <w:vAlign w:val="center"/>
          </w:tcPr>
          <w:p w14:paraId="456349E6" w14:textId="77777777" w:rsidR="00087357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 xml:space="preserve">Expected design </w:t>
            </w:r>
            <w:proofErr w:type="spellStart"/>
            <w:r>
              <w:rPr>
                <w:b/>
                <w:color w:val="FFFFFF"/>
                <w:sz w:val="16"/>
              </w:rPr>
              <w:t>behaviour</w:t>
            </w:r>
            <w:proofErr w:type="spellEnd"/>
            <w:r>
              <w:rPr>
                <w:b/>
                <w:color w:val="FFFFFF"/>
                <w:sz w:val="16"/>
              </w:rPr>
              <w:t xml:space="preserve"> / test</w:t>
            </w:r>
          </w:p>
        </w:tc>
      </w:tr>
      <w:tr w:rsidR="00087357" w14:paraId="1702FE8B" w14:textId="77777777">
        <w:trPr>
          <w:jc w:val="center"/>
        </w:trPr>
        <w:tc>
          <w:tcPr>
            <w:tcW w:w="2304" w:type="dxa"/>
            <w:vAlign w:val="center"/>
          </w:tcPr>
          <w:p w14:paraId="41AA012A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Host failure</w:t>
            </w:r>
          </w:p>
        </w:tc>
        <w:tc>
          <w:tcPr>
            <w:tcW w:w="8352" w:type="dxa"/>
            <w:vAlign w:val="center"/>
          </w:tcPr>
          <w:p w14:paraId="31FB76A2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Verify fencing, VM restart policy, available capacity, and storage access on surviving hosts.</w:t>
            </w:r>
          </w:p>
        </w:tc>
      </w:tr>
      <w:tr w:rsidR="00087357" w14:paraId="5180DCA7" w14:textId="77777777">
        <w:trPr>
          <w:jc w:val="center"/>
        </w:trPr>
        <w:tc>
          <w:tcPr>
            <w:tcW w:w="2304" w:type="dxa"/>
            <w:shd w:val="clear" w:color="auto" w:fill="F2F6F8"/>
            <w:vAlign w:val="center"/>
          </w:tcPr>
          <w:p w14:paraId="68EBDE3B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VM crash</w:t>
            </w:r>
          </w:p>
        </w:tc>
        <w:tc>
          <w:tcPr>
            <w:tcW w:w="8352" w:type="dxa"/>
            <w:shd w:val="clear" w:color="auto" w:fill="F2F6F8"/>
            <w:vAlign w:val="center"/>
          </w:tcPr>
          <w:p w14:paraId="3BB95F11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Guest/application recovery is separate from host HA; test application-level restart and monitoring.</w:t>
            </w:r>
          </w:p>
        </w:tc>
      </w:tr>
      <w:tr w:rsidR="00087357" w14:paraId="41D93739" w14:textId="77777777">
        <w:trPr>
          <w:jc w:val="center"/>
        </w:trPr>
        <w:tc>
          <w:tcPr>
            <w:tcW w:w="2304" w:type="dxa"/>
            <w:vAlign w:val="center"/>
          </w:tcPr>
          <w:p w14:paraId="579DC576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Host maintenance</w:t>
            </w:r>
          </w:p>
        </w:tc>
        <w:tc>
          <w:tcPr>
            <w:tcW w:w="8352" w:type="dxa"/>
            <w:vAlign w:val="center"/>
          </w:tcPr>
          <w:p w14:paraId="5AAD350E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Migrate or shut down workloads safely before maintenance; validate capacity and compatibility.</w:t>
            </w:r>
          </w:p>
        </w:tc>
      </w:tr>
      <w:tr w:rsidR="00087357" w14:paraId="49713027" w14:textId="77777777">
        <w:trPr>
          <w:jc w:val="center"/>
        </w:trPr>
        <w:tc>
          <w:tcPr>
            <w:tcW w:w="2304" w:type="dxa"/>
            <w:shd w:val="clear" w:color="auto" w:fill="F2F6F8"/>
            <w:vAlign w:val="center"/>
          </w:tcPr>
          <w:p w14:paraId="45285714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Shared storage outage</w:t>
            </w:r>
          </w:p>
        </w:tc>
        <w:tc>
          <w:tcPr>
            <w:tcW w:w="8352" w:type="dxa"/>
            <w:shd w:val="clear" w:color="auto" w:fill="F2F6F8"/>
            <w:vAlign w:val="center"/>
          </w:tcPr>
          <w:p w14:paraId="37A17E25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VM availability may be affected; test multipathing, storage redundancy, alerting, and recovery.</w:t>
            </w:r>
          </w:p>
        </w:tc>
      </w:tr>
      <w:tr w:rsidR="00087357" w14:paraId="11EBB130" w14:textId="77777777">
        <w:trPr>
          <w:jc w:val="center"/>
        </w:trPr>
        <w:tc>
          <w:tcPr>
            <w:tcW w:w="2304" w:type="dxa"/>
            <w:vAlign w:val="center"/>
          </w:tcPr>
          <w:p w14:paraId="1651126D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Engine outage</w:t>
            </w:r>
          </w:p>
        </w:tc>
        <w:tc>
          <w:tcPr>
            <w:tcW w:w="8352" w:type="dxa"/>
            <w:vAlign w:val="center"/>
          </w:tcPr>
          <w:p w14:paraId="3F3C934C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Running VMs may continue running, but centralized management is impaired; test self-hosted Engine HA and restore procedures.</w:t>
            </w:r>
          </w:p>
        </w:tc>
      </w:tr>
    </w:tbl>
    <w:p w14:paraId="19F94B77" w14:textId="77777777" w:rsidR="00087357" w:rsidRDefault="00087357">
      <w:pPr>
        <w:spacing w:after="20"/>
      </w:pPr>
    </w:p>
    <w:p w14:paraId="0BD0E395" w14:textId="77777777" w:rsidR="00087357" w:rsidRDefault="00087357">
      <w:pPr>
        <w:pStyle w:val="Heading1"/>
      </w:pPr>
    </w:p>
    <w:p w14:paraId="67B78C50" w14:textId="77777777" w:rsidR="00087357" w:rsidRDefault="00087357">
      <w:pPr>
        <w:pStyle w:val="Heading1"/>
      </w:pPr>
    </w:p>
    <w:p w14:paraId="078EDA51" w14:textId="77777777" w:rsidR="00087357" w:rsidRDefault="00087357">
      <w:pPr>
        <w:pStyle w:val="Heading1"/>
      </w:pPr>
    </w:p>
    <w:p w14:paraId="0E5A1591" w14:textId="77777777" w:rsidR="00087357" w:rsidRDefault="00000000">
      <w:pPr>
        <w:pStyle w:val="Heading1"/>
      </w:pPr>
      <w:r>
        <w:t>6. Storage and networking</w:t>
      </w:r>
    </w:p>
    <w:p w14:paraId="30FA21BC" w14:textId="77777777" w:rsidR="00087357" w:rsidRDefault="00000000">
      <w:pPr>
        <w:pStyle w:val="Heading2"/>
      </w:pPr>
      <w:r>
        <w:t>Storage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8172"/>
      </w:tblGrid>
      <w:tr w:rsidR="00087357" w14:paraId="29F8B1A6" w14:textId="77777777">
        <w:trPr>
          <w:jc w:val="center"/>
        </w:trPr>
        <w:tc>
          <w:tcPr>
            <w:tcW w:w="2304" w:type="dxa"/>
            <w:shd w:val="clear" w:color="auto" w:fill="12304A"/>
            <w:vAlign w:val="center"/>
          </w:tcPr>
          <w:p w14:paraId="06ECFCC5" w14:textId="77777777" w:rsidR="00087357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Storage type</w:t>
            </w:r>
          </w:p>
        </w:tc>
        <w:tc>
          <w:tcPr>
            <w:tcW w:w="8352" w:type="dxa"/>
            <w:shd w:val="clear" w:color="auto" w:fill="12304A"/>
            <w:vAlign w:val="center"/>
          </w:tcPr>
          <w:p w14:paraId="4CA9D261" w14:textId="77777777" w:rsidR="00087357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Notes / design considerations</w:t>
            </w:r>
          </w:p>
        </w:tc>
      </w:tr>
      <w:tr w:rsidR="00087357" w14:paraId="4FEB595C" w14:textId="77777777">
        <w:trPr>
          <w:jc w:val="center"/>
        </w:trPr>
        <w:tc>
          <w:tcPr>
            <w:tcW w:w="2304" w:type="dxa"/>
            <w:vAlign w:val="center"/>
          </w:tcPr>
          <w:p w14:paraId="44C4020C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NFS</w:t>
            </w:r>
          </w:p>
        </w:tc>
        <w:tc>
          <w:tcPr>
            <w:tcW w:w="8352" w:type="dxa"/>
            <w:vAlign w:val="center"/>
          </w:tcPr>
          <w:p w14:paraId="2E8F70E9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Common shared-storage option; validate export permissions, network performance, and server redundancy.</w:t>
            </w:r>
          </w:p>
        </w:tc>
      </w:tr>
      <w:tr w:rsidR="00087357" w14:paraId="0111F8A0" w14:textId="77777777">
        <w:trPr>
          <w:jc w:val="center"/>
        </w:trPr>
        <w:tc>
          <w:tcPr>
            <w:tcW w:w="2304" w:type="dxa"/>
            <w:shd w:val="clear" w:color="auto" w:fill="F2F6F8"/>
            <w:vAlign w:val="center"/>
          </w:tcPr>
          <w:p w14:paraId="12CFF98A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iSCSI</w:t>
            </w:r>
          </w:p>
        </w:tc>
        <w:tc>
          <w:tcPr>
            <w:tcW w:w="8352" w:type="dxa"/>
            <w:shd w:val="clear" w:color="auto" w:fill="F2F6F8"/>
            <w:vAlign w:val="center"/>
          </w:tcPr>
          <w:p w14:paraId="4FA4D1D0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Shared block storage; plan multipathing, target redundancy, and network isolation.</w:t>
            </w:r>
          </w:p>
        </w:tc>
      </w:tr>
      <w:tr w:rsidR="00087357" w14:paraId="118A7BF2" w14:textId="77777777">
        <w:trPr>
          <w:jc w:val="center"/>
        </w:trPr>
        <w:tc>
          <w:tcPr>
            <w:tcW w:w="2304" w:type="dxa"/>
            <w:vAlign w:val="center"/>
          </w:tcPr>
          <w:p w14:paraId="297BC05C" w14:textId="77777777" w:rsidR="00087357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Fibre</w:t>
            </w:r>
            <w:proofErr w:type="spellEnd"/>
            <w:r>
              <w:rPr>
                <w:sz w:val="16"/>
              </w:rPr>
              <w:t xml:space="preserve"> Channel (FCP)</w:t>
            </w:r>
          </w:p>
        </w:tc>
        <w:tc>
          <w:tcPr>
            <w:tcW w:w="8352" w:type="dxa"/>
            <w:vAlign w:val="center"/>
          </w:tcPr>
          <w:p w14:paraId="0B8F3FAD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Shared block storage using supported HBAs, SAN configuration, and multipathing.</w:t>
            </w:r>
          </w:p>
        </w:tc>
      </w:tr>
      <w:tr w:rsidR="00087357" w14:paraId="0106C841" w14:textId="77777777">
        <w:trPr>
          <w:jc w:val="center"/>
        </w:trPr>
        <w:tc>
          <w:tcPr>
            <w:tcW w:w="2304" w:type="dxa"/>
            <w:shd w:val="clear" w:color="auto" w:fill="F2F6F8"/>
            <w:vAlign w:val="center"/>
          </w:tcPr>
          <w:p w14:paraId="08C1B591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Local storage</w:t>
            </w:r>
          </w:p>
        </w:tc>
        <w:tc>
          <w:tcPr>
            <w:tcW w:w="8352" w:type="dxa"/>
            <w:shd w:val="clear" w:color="auto" w:fill="F2F6F8"/>
            <w:vAlign w:val="center"/>
          </w:tcPr>
          <w:p w14:paraId="0A5F31D1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Useful for specific designs, but limits shared-storage-based migration and host-failure recovery.</w:t>
            </w:r>
          </w:p>
        </w:tc>
      </w:tr>
      <w:tr w:rsidR="00087357" w14:paraId="6FB067B6" w14:textId="77777777">
        <w:trPr>
          <w:jc w:val="center"/>
        </w:trPr>
        <w:tc>
          <w:tcPr>
            <w:tcW w:w="2304" w:type="dxa"/>
            <w:vAlign w:val="center"/>
          </w:tcPr>
          <w:p w14:paraId="7C3D0C9C" w14:textId="77777777" w:rsidR="00087357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GlusterFS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pNFS</w:t>
            </w:r>
            <w:proofErr w:type="spellEnd"/>
            <w:r>
              <w:rPr>
                <w:sz w:val="16"/>
              </w:rPr>
              <w:t xml:space="preserve"> / Ceph</w:t>
            </w:r>
          </w:p>
        </w:tc>
        <w:tc>
          <w:tcPr>
            <w:tcW w:w="8352" w:type="dxa"/>
            <w:vAlign w:val="center"/>
          </w:tcPr>
          <w:p w14:paraId="4D19BE90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 xml:space="preserve">Do not assume current native support. Verify support and limitations for the exact </w:t>
            </w:r>
            <w:proofErr w:type="spellStart"/>
            <w:r>
              <w:rPr>
                <w:sz w:val="16"/>
              </w:rPr>
              <w:t>oVirt</w:t>
            </w:r>
            <w:proofErr w:type="spellEnd"/>
            <w:r>
              <w:rPr>
                <w:sz w:val="16"/>
              </w:rPr>
              <w:t xml:space="preserve"> release before designing around them.</w:t>
            </w:r>
          </w:p>
        </w:tc>
      </w:tr>
      <w:tr w:rsidR="00087357" w14:paraId="4C06F6B4" w14:textId="77777777">
        <w:trPr>
          <w:jc w:val="center"/>
        </w:trPr>
        <w:tc>
          <w:tcPr>
            <w:tcW w:w="2304" w:type="dxa"/>
            <w:shd w:val="clear" w:color="auto" w:fill="F2F6F8"/>
            <w:vAlign w:val="center"/>
          </w:tcPr>
          <w:p w14:paraId="5D87A34E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Backup storage</w:t>
            </w:r>
          </w:p>
        </w:tc>
        <w:tc>
          <w:tcPr>
            <w:tcW w:w="8352" w:type="dxa"/>
            <w:shd w:val="clear" w:color="auto" w:fill="F2F6F8"/>
            <w:vAlign w:val="center"/>
          </w:tcPr>
          <w:p w14:paraId="3790E0A5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Use separate backup capacity and protect backups against accidental deletion and ransomware.</w:t>
            </w:r>
          </w:p>
        </w:tc>
      </w:tr>
    </w:tbl>
    <w:p w14:paraId="42332C49" w14:textId="77777777" w:rsidR="00087357" w:rsidRDefault="00087357">
      <w:pPr>
        <w:spacing w:after="20"/>
      </w:pPr>
    </w:p>
    <w:p w14:paraId="4036BEA4" w14:textId="77777777" w:rsidR="00087357" w:rsidRDefault="00000000">
      <w:r>
        <w:t xml:space="preserve">Use the storage types documented for the selected </w:t>
      </w:r>
      <w:proofErr w:type="spellStart"/>
      <w:r>
        <w:t>oVirt</w:t>
      </w:r>
      <w:proofErr w:type="spellEnd"/>
      <w:r>
        <w:t xml:space="preserve"> release. Shared storage commonly simplifies live migration, but the storage backend, domain format, multipathing, snapshots, and failure </w:t>
      </w:r>
      <w:proofErr w:type="spellStart"/>
      <w:r>
        <w:t>behaviour</w:t>
      </w:r>
      <w:proofErr w:type="spellEnd"/>
      <w:r>
        <w:t xml:space="preserve"> must be verified for the actual deployment.</w:t>
      </w:r>
    </w:p>
    <w:p w14:paraId="0F3C766B" w14:textId="77777777" w:rsidR="00087357" w:rsidRDefault="00000000">
      <w:pPr>
        <w:pStyle w:val="Heading2"/>
      </w:pPr>
      <w:r>
        <w:t>Networking</w:t>
      </w:r>
    </w:p>
    <w:p w14:paraId="1D979C5F" w14:textId="77777777" w:rsidR="00087357" w:rsidRDefault="00000000">
      <w:pPr>
        <w:pStyle w:val="ListBullet"/>
        <w:spacing w:after="40"/>
      </w:pPr>
      <w:r>
        <w:t xml:space="preserve">Separate management, VM, migration, and storage traffic </w:t>
      </w:r>
      <w:proofErr w:type="gramStart"/>
      <w:r>
        <w:t>where</w:t>
      </w:r>
      <w:proofErr w:type="gramEnd"/>
      <w:r>
        <w:t xml:space="preserve"> practical, using dedicated interfaces or VLANs.</w:t>
      </w:r>
    </w:p>
    <w:p w14:paraId="5C56B683" w14:textId="77777777" w:rsidR="00087357" w:rsidRDefault="00000000">
      <w:pPr>
        <w:pStyle w:val="ListBullet"/>
        <w:spacing w:after="40"/>
      </w:pPr>
      <w:r>
        <w:t>Use NIC bonding for redundancy and bandwidth; network teaming is not supported in the supplied recommendation notes.</w:t>
      </w:r>
    </w:p>
    <w:p w14:paraId="05A49CCE" w14:textId="77777777" w:rsidR="00087357" w:rsidRDefault="00000000">
      <w:pPr>
        <w:pStyle w:val="ListBullet"/>
        <w:spacing w:after="40"/>
      </w:pPr>
      <w:r>
        <w:t>Maintain correct DNS, DHCP/static addressing, and time synchronization.</w:t>
      </w:r>
    </w:p>
    <w:p w14:paraId="17203CD1" w14:textId="77777777" w:rsidR="00087357" w:rsidRDefault="00000000">
      <w:pPr>
        <w:pStyle w:val="ListBullet"/>
        <w:spacing w:after="40"/>
      </w:pPr>
      <w:r>
        <w:t>Use QoS when different traffic types share a bond.</w:t>
      </w:r>
    </w:p>
    <w:p w14:paraId="4AC9D752" w14:textId="77777777" w:rsidR="00087357" w:rsidRDefault="00000000">
      <w:pPr>
        <w:pStyle w:val="ListBullet"/>
        <w:spacing w:after="40"/>
      </w:pPr>
      <w:r>
        <w:t>Use jumbo frames only when the entire network path supports the same MTU; inconsistent MTU can disrupt connectivity and migration.</w:t>
      </w:r>
    </w:p>
    <w:p w14:paraId="3C5643E0" w14:textId="77777777" w:rsidR="00087357" w:rsidRDefault="00000000">
      <w:pPr>
        <w:pStyle w:val="ListBullet"/>
        <w:spacing w:after="40"/>
      </w:pPr>
      <w:r>
        <w:t>The supplied guide recommends reserving 1 GbE for management traffic and preferring 10/40 GbE for VM and Ethernet storage traffic.</w:t>
      </w:r>
    </w:p>
    <w:p w14:paraId="5476AF1B" w14:textId="77777777" w:rsidR="00087357" w:rsidRDefault="00000000">
      <w:pPr>
        <w:pStyle w:val="ListBullet"/>
        <w:spacing w:after="40"/>
      </w:pPr>
      <w:r>
        <w:t xml:space="preserve">Use LACP/Mode 4 only where the switch configuration supports it; Mode 1 </w:t>
      </w:r>
      <w:proofErr w:type="gramStart"/>
      <w:r>
        <w:t>active-backup</w:t>
      </w:r>
      <w:proofErr w:type="gramEnd"/>
      <w:r>
        <w:t xml:space="preserve"> is an alternative when LACP is unavailable.</w:t>
      </w:r>
    </w:p>
    <w:p w14:paraId="68288AA1" w14:textId="77777777" w:rsidR="00087357" w:rsidRDefault="00000000">
      <w:pPr>
        <w:pStyle w:val="ListBullet"/>
        <w:spacing w:after="40"/>
      </w:pPr>
      <w:r>
        <w:t xml:space="preserve">Keep </w:t>
      </w:r>
      <w:proofErr w:type="spellStart"/>
      <w:r>
        <w:t>firewalld</w:t>
      </w:r>
      <w:proofErr w:type="spellEnd"/>
      <w:r>
        <w:t xml:space="preserve"> enabled and manage host network changes through the Engine after a host is enrolled, following the supported workflow.</w:t>
      </w:r>
    </w:p>
    <w:p w14:paraId="765B2AEF" w14:textId="77777777" w:rsidR="00087357" w:rsidRDefault="00000000">
      <w:pPr>
        <w:pStyle w:val="Heading2"/>
      </w:pPr>
      <w:r>
        <w:t>Example VLAN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1983"/>
        <w:gridCol w:w="6188"/>
      </w:tblGrid>
      <w:tr w:rsidR="00087357" w14:paraId="7866B21E" w14:textId="77777777">
        <w:trPr>
          <w:jc w:val="center"/>
        </w:trPr>
        <w:tc>
          <w:tcPr>
            <w:tcW w:w="2304" w:type="dxa"/>
            <w:shd w:val="clear" w:color="auto" w:fill="12304A"/>
            <w:vAlign w:val="center"/>
          </w:tcPr>
          <w:p w14:paraId="228B1AF9" w14:textId="77777777" w:rsidR="00087357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Network</w:t>
            </w:r>
          </w:p>
        </w:tc>
        <w:tc>
          <w:tcPr>
            <w:tcW w:w="2016" w:type="dxa"/>
            <w:shd w:val="clear" w:color="auto" w:fill="12304A"/>
            <w:vAlign w:val="center"/>
          </w:tcPr>
          <w:p w14:paraId="4D967795" w14:textId="77777777" w:rsidR="00087357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Example VLAN</w:t>
            </w:r>
          </w:p>
        </w:tc>
        <w:tc>
          <w:tcPr>
            <w:tcW w:w="6336" w:type="dxa"/>
            <w:shd w:val="clear" w:color="auto" w:fill="12304A"/>
            <w:vAlign w:val="center"/>
          </w:tcPr>
          <w:p w14:paraId="207660A7" w14:textId="77777777" w:rsidR="00087357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087357" w14:paraId="28D713C4" w14:textId="77777777">
        <w:trPr>
          <w:jc w:val="center"/>
        </w:trPr>
        <w:tc>
          <w:tcPr>
            <w:tcW w:w="2304" w:type="dxa"/>
            <w:vAlign w:val="center"/>
          </w:tcPr>
          <w:p w14:paraId="16CC25BB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Management</w:t>
            </w:r>
          </w:p>
        </w:tc>
        <w:tc>
          <w:tcPr>
            <w:tcW w:w="2016" w:type="dxa"/>
            <w:vAlign w:val="center"/>
          </w:tcPr>
          <w:p w14:paraId="30D04217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VLAN 10</w:t>
            </w:r>
          </w:p>
        </w:tc>
        <w:tc>
          <w:tcPr>
            <w:tcW w:w="6336" w:type="dxa"/>
            <w:vAlign w:val="center"/>
          </w:tcPr>
          <w:p w14:paraId="408426F3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Engine-to-host management and administration.</w:t>
            </w:r>
          </w:p>
        </w:tc>
      </w:tr>
      <w:tr w:rsidR="00087357" w14:paraId="34C6AD4F" w14:textId="77777777">
        <w:trPr>
          <w:jc w:val="center"/>
        </w:trPr>
        <w:tc>
          <w:tcPr>
            <w:tcW w:w="2304" w:type="dxa"/>
            <w:shd w:val="clear" w:color="auto" w:fill="F2F6F8"/>
            <w:vAlign w:val="center"/>
          </w:tcPr>
          <w:p w14:paraId="5E1E17B9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VM / compute</w:t>
            </w:r>
          </w:p>
        </w:tc>
        <w:tc>
          <w:tcPr>
            <w:tcW w:w="2016" w:type="dxa"/>
            <w:shd w:val="clear" w:color="auto" w:fill="F2F6F8"/>
            <w:vAlign w:val="center"/>
          </w:tcPr>
          <w:p w14:paraId="43810606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VLAN 20</w:t>
            </w:r>
          </w:p>
        </w:tc>
        <w:tc>
          <w:tcPr>
            <w:tcW w:w="6336" w:type="dxa"/>
            <w:shd w:val="clear" w:color="auto" w:fill="F2F6F8"/>
            <w:vAlign w:val="center"/>
          </w:tcPr>
          <w:p w14:paraId="47D0EAA6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Virtual machine production traffic.</w:t>
            </w:r>
          </w:p>
        </w:tc>
      </w:tr>
      <w:tr w:rsidR="00087357" w14:paraId="1B0038D9" w14:textId="77777777">
        <w:trPr>
          <w:jc w:val="center"/>
        </w:trPr>
        <w:tc>
          <w:tcPr>
            <w:tcW w:w="2304" w:type="dxa"/>
            <w:vAlign w:val="center"/>
          </w:tcPr>
          <w:p w14:paraId="44F382B8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Storage</w:t>
            </w:r>
          </w:p>
        </w:tc>
        <w:tc>
          <w:tcPr>
            <w:tcW w:w="2016" w:type="dxa"/>
            <w:vAlign w:val="center"/>
          </w:tcPr>
          <w:p w14:paraId="4CEAB093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VLAN 30</w:t>
            </w:r>
          </w:p>
        </w:tc>
        <w:tc>
          <w:tcPr>
            <w:tcW w:w="6336" w:type="dxa"/>
            <w:vAlign w:val="center"/>
          </w:tcPr>
          <w:p w14:paraId="6284C82C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NFS/iSCSI or other supported storage traffic.</w:t>
            </w:r>
          </w:p>
        </w:tc>
      </w:tr>
      <w:tr w:rsidR="00087357" w14:paraId="59CC7398" w14:textId="77777777">
        <w:trPr>
          <w:jc w:val="center"/>
        </w:trPr>
        <w:tc>
          <w:tcPr>
            <w:tcW w:w="2304" w:type="dxa"/>
            <w:shd w:val="clear" w:color="auto" w:fill="F2F6F8"/>
            <w:vAlign w:val="center"/>
          </w:tcPr>
          <w:p w14:paraId="72918FC8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Migration</w:t>
            </w:r>
          </w:p>
        </w:tc>
        <w:tc>
          <w:tcPr>
            <w:tcW w:w="2016" w:type="dxa"/>
            <w:shd w:val="clear" w:color="auto" w:fill="F2F6F8"/>
            <w:vAlign w:val="center"/>
          </w:tcPr>
          <w:p w14:paraId="5545D946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VLAN 40 (optional)</w:t>
            </w:r>
          </w:p>
        </w:tc>
        <w:tc>
          <w:tcPr>
            <w:tcW w:w="6336" w:type="dxa"/>
            <w:shd w:val="clear" w:color="auto" w:fill="F2F6F8"/>
            <w:vAlign w:val="center"/>
          </w:tcPr>
          <w:p w14:paraId="73AD48BD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Live migration traffic, where separation is required.</w:t>
            </w:r>
          </w:p>
        </w:tc>
      </w:tr>
    </w:tbl>
    <w:p w14:paraId="137B6EA8" w14:textId="77777777" w:rsidR="00087357" w:rsidRDefault="00087357">
      <w:pPr>
        <w:spacing w:after="20"/>
      </w:pPr>
    </w:p>
    <w:p w14:paraId="0150CDBF" w14:textId="77777777" w:rsidR="00087357" w:rsidRDefault="00000000">
      <w:r>
        <w:t>VLAN IDs are illustrative and must be adapted to the physical switching and IP addressing plan.</w:t>
      </w:r>
    </w:p>
    <w:p w14:paraId="13F1BA08" w14:textId="77777777" w:rsidR="00087357" w:rsidRDefault="00000000">
      <w:pPr>
        <w:pStyle w:val="Heading1"/>
      </w:pPr>
      <w:r>
        <w:lastRenderedPageBreak/>
        <w:t>7. Migration from VMware and other hypervisors</w:t>
      </w:r>
    </w:p>
    <w:p w14:paraId="3B7A8DBD" w14:textId="77777777" w:rsidR="00087357" w:rsidRDefault="00000000">
      <w:r>
        <w:t xml:space="preserve">Cross-hypervisor migration is generally a conversion/import exercise, not live migration between hypervisors. The exact workflow depends on source version, guest OS, disk format, VM hardware, network mapping, and </w:t>
      </w:r>
      <w:proofErr w:type="gramStart"/>
      <w:r>
        <w:t>the tools</w:t>
      </w:r>
      <w:proofErr w:type="gramEnd"/>
      <w:r>
        <w:t xml:space="preserve"> supported by the target release.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53"/>
        <w:gridCol w:w="4301"/>
        <w:gridCol w:w="4086"/>
      </w:tblGrid>
      <w:tr w:rsidR="00087357" w14:paraId="35751504" w14:textId="77777777">
        <w:trPr>
          <w:jc w:val="center"/>
        </w:trPr>
        <w:tc>
          <w:tcPr>
            <w:tcW w:w="2088" w:type="dxa"/>
            <w:shd w:val="clear" w:color="auto" w:fill="12304A"/>
            <w:vAlign w:val="center"/>
          </w:tcPr>
          <w:p w14:paraId="679C5FEA" w14:textId="77777777" w:rsidR="00087357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Source platform</w:t>
            </w:r>
          </w:p>
        </w:tc>
        <w:tc>
          <w:tcPr>
            <w:tcW w:w="4392" w:type="dxa"/>
            <w:shd w:val="clear" w:color="auto" w:fill="12304A"/>
            <w:vAlign w:val="center"/>
          </w:tcPr>
          <w:p w14:paraId="75188AD7" w14:textId="77777777" w:rsidR="00087357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Approach to assess</w:t>
            </w:r>
          </w:p>
        </w:tc>
        <w:tc>
          <w:tcPr>
            <w:tcW w:w="4176" w:type="dxa"/>
            <w:shd w:val="clear" w:color="auto" w:fill="12304A"/>
            <w:vAlign w:val="center"/>
          </w:tcPr>
          <w:p w14:paraId="49935D74" w14:textId="77777777" w:rsidR="00087357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Key caution</w:t>
            </w:r>
          </w:p>
        </w:tc>
      </w:tr>
      <w:tr w:rsidR="00087357" w14:paraId="09326596" w14:textId="77777777">
        <w:trPr>
          <w:jc w:val="center"/>
        </w:trPr>
        <w:tc>
          <w:tcPr>
            <w:tcW w:w="2088" w:type="dxa"/>
            <w:vAlign w:val="center"/>
          </w:tcPr>
          <w:p w14:paraId="67B4072D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 xml:space="preserve">VMware </w:t>
            </w:r>
            <w:proofErr w:type="spellStart"/>
            <w:r>
              <w:rPr>
                <w:sz w:val="15"/>
              </w:rPr>
              <w:t>ESXi</w:t>
            </w:r>
            <w:proofErr w:type="spellEnd"/>
            <w:r>
              <w:rPr>
                <w:sz w:val="15"/>
              </w:rPr>
              <w:t xml:space="preserve"> / vCenter</w:t>
            </w:r>
          </w:p>
        </w:tc>
        <w:tc>
          <w:tcPr>
            <w:tcW w:w="4392" w:type="dxa"/>
            <w:vAlign w:val="center"/>
          </w:tcPr>
          <w:p w14:paraId="0084498E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 xml:space="preserve">Documented import/provider workflow or offline conversion using supported tools such as </w:t>
            </w:r>
            <w:r>
              <w:rPr>
                <w:b/>
                <w:bCs/>
                <w:sz w:val="15"/>
              </w:rPr>
              <w:t>virt-v2v</w:t>
            </w:r>
            <w:r>
              <w:rPr>
                <w:sz w:val="15"/>
              </w:rPr>
              <w:t>; validate OVF/OVA and VMDK.</w:t>
            </w:r>
          </w:p>
        </w:tc>
        <w:tc>
          <w:tcPr>
            <w:tcW w:w="4176" w:type="dxa"/>
            <w:vAlign w:val="center"/>
          </w:tcPr>
          <w:p w14:paraId="6E0677E4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>Check source compatibility, VMDK variant, guest drivers, network mapping, and application downtime.</w:t>
            </w:r>
          </w:p>
        </w:tc>
      </w:tr>
      <w:tr w:rsidR="00087357" w14:paraId="45FC1643" w14:textId="77777777">
        <w:trPr>
          <w:jc w:val="center"/>
        </w:trPr>
        <w:tc>
          <w:tcPr>
            <w:tcW w:w="2088" w:type="dxa"/>
            <w:shd w:val="clear" w:color="auto" w:fill="F2F6F8"/>
            <w:vAlign w:val="center"/>
          </w:tcPr>
          <w:p w14:paraId="6D6FDEF7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>HPE VM Essentials</w:t>
            </w:r>
          </w:p>
        </w:tc>
        <w:tc>
          <w:tcPr>
            <w:tcW w:w="4392" w:type="dxa"/>
            <w:shd w:val="clear" w:color="auto" w:fill="F2F6F8"/>
            <w:vAlign w:val="center"/>
          </w:tcPr>
          <w:p w14:paraId="77C9A1C3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 xml:space="preserve">Confirm the supported export/conversion path for the exact HPE product and target </w:t>
            </w:r>
            <w:proofErr w:type="spellStart"/>
            <w:r>
              <w:rPr>
                <w:sz w:val="15"/>
              </w:rPr>
              <w:t>oVirt</w:t>
            </w:r>
            <w:proofErr w:type="spellEnd"/>
            <w:r>
              <w:rPr>
                <w:sz w:val="15"/>
              </w:rPr>
              <w:t xml:space="preserve"> version.</w:t>
            </w:r>
          </w:p>
        </w:tc>
        <w:tc>
          <w:tcPr>
            <w:tcW w:w="4176" w:type="dxa"/>
            <w:shd w:val="clear" w:color="auto" w:fill="F2F6F8"/>
            <w:vAlign w:val="center"/>
          </w:tcPr>
          <w:p w14:paraId="0D4FB5BF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>HPE VM Essentials is distinct from an HPE-branded VMware deployment.</w:t>
            </w:r>
          </w:p>
        </w:tc>
      </w:tr>
      <w:tr w:rsidR="00087357" w14:paraId="255C3CCE" w14:textId="77777777">
        <w:trPr>
          <w:jc w:val="center"/>
        </w:trPr>
        <w:tc>
          <w:tcPr>
            <w:tcW w:w="2088" w:type="dxa"/>
            <w:vAlign w:val="center"/>
          </w:tcPr>
          <w:p w14:paraId="72EED2D1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>Microsoft Hyper-V</w:t>
            </w:r>
          </w:p>
        </w:tc>
        <w:tc>
          <w:tcPr>
            <w:tcW w:w="4392" w:type="dxa"/>
            <w:vAlign w:val="center"/>
          </w:tcPr>
          <w:p w14:paraId="4F1A8AE5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>Assess disk export and conversion tools, then recreate/import the VM as supported.</w:t>
            </w:r>
          </w:p>
        </w:tc>
        <w:tc>
          <w:tcPr>
            <w:tcW w:w="4176" w:type="dxa"/>
            <w:vAlign w:val="center"/>
          </w:tcPr>
          <w:p w14:paraId="484F4D7B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>Validate VHD/VHDX conversion, drivers, firmware, and guest boot.</w:t>
            </w:r>
          </w:p>
        </w:tc>
      </w:tr>
      <w:tr w:rsidR="00087357" w14:paraId="212DB6DA" w14:textId="77777777">
        <w:trPr>
          <w:jc w:val="center"/>
        </w:trPr>
        <w:tc>
          <w:tcPr>
            <w:tcW w:w="2088" w:type="dxa"/>
            <w:shd w:val="clear" w:color="auto" w:fill="F2F6F8"/>
            <w:vAlign w:val="center"/>
          </w:tcPr>
          <w:p w14:paraId="5E956B7F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>Oracle VM / Oracle Linux KVM</w:t>
            </w:r>
          </w:p>
        </w:tc>
        <w:tc>
          <w:tcPr>
            <w:tcW w:w="4392" w:type="dxa"/>
            <w:shd w:val="clear" w:color="auto" w:fill="F2F6F8"/>
            <w:vAlign w:val="center"/>
          </w:tcPr>
          <w:p w14:paraId="2549DDFA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>Use documented export or disk conversion appropriate to the source.</w:t>
            </w:r>
          </w:p>
        </w:tc>
        <w:tc>
          <w:tcPr>
            <w:tcW w:w="4176" w:type="dxa"/>
            <w:shd w:val="clear" w:color="auto" w:fill="F2F6F8"/>
            <w:vAlign w:val="center"/>
          </w:tcPr>
          <w:p w14:paraId="1DD57672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>Do not assume all Oracle VM formats or configurations import directly.</w:t>
            </w:r>
          </w:p>
        </w:tc>
      </w:tr>
      <w:tr w:rsidR="00087357" w14:paraId="47183C2D" w14:textId="77777777">
        <w:trPr>
          <w:jc w:val="center"/>
        </w:trPr>
        <w:tc>
          <w:tcPr>
            <w:tcW w:w="2088" w:type="dxa"/>
            <w:vAlign w:val="center"/>
          </w:tcPr>
          <w:p w14:paraId="71CC8EF3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>Xen-based platforms</w:t>
            </w:r>
          </w:p>
        </w:tc>
        <w:tc>
          <w:tcPr>
            <w:tcW w:w="4392" w:type="dxa"/>
            <w:vAlign w:val="center"/>
          </w:tcPr>
          <w:p w14:paraId="4F95049A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>Usually requires export/disk conversion and VM recreation.</w:t>
            </w:r>
          </w:p>
        </w:tc>
        <w:tc>
          <w:tcPr>
            <w:tcW w:w="4176" w:type="dxa"/>
            <w:vAlign w:val="center"/>
          </w:tcPr>
          <w:p w14:paraId="22DE5965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>Validate guest boot, paravirtual drivers, and virtual hardware.</w:t>
            </w:r>
          </w:p>
        </w:tc>
      </w:tr>
      <w:tr w:rsidR="00087357" w14:paraId="47ECD291" w14:textId="77777777">
        <w:trPr>
          <w:jc w:val="center"/>
        </w:trPr>
        <w:tc>
          <w:tcPr>
            <w:tcW w:w="2088" w:type="dxa"/>
            <w:shd w:val="clear" w:color="auto" w:fill="F2F6F8"/>
            <w:vAlign w:val="center"/>
          </w:tcPr>
          <w:p w14:paraId="07C964F1" w14:textId="77777777" w:rsidR="00087357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Proxmox</w:t>
            </w:r>
            <w:proofErr w:type="spellEnd"/>
            <w:r>
              <w:rPr>
                <w:sz w:val="15"/>
              </w:rPr>
              <w:t xml:space="preserve"> VE</w:t>
            </w:r>
          </w:p>
        </w:tc>
        <w:tc>
          <w:tcPr>
            <w:tcW w:w="4392" w:type="dxa"/>
            <w:shd w:val="clear" w:color="auto" w:fill="F2F6F8"/>
            <w:vAlign w:val="center"/>
          </w:tcPr>
          <w:p w14:paraId="543215D1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>Assess disk conversion and VM recreation/import.</w:t>
            </w:r>
          </w:p>
        </w:tc>
        <w:tc>
          <w:tcPr>
            <w:tcW w:w="4176" w:type="dxa"/>
            <w:shd w:val="clear" w:color="auto" w:fill="F2F6F8"/>
            <w:vAlign w:val="center"/>
          </w:tcPr>
          <w:p w14:paraId="207BC978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>Verify disk format, storage mapping, and BIOS/UEFI settings.</w:t>
            </w:r>
          </w:p>
        </w:tc>
      </w:tr>
      <w:tr w:rsidR="00087357" w14:paraId="59FCF693" w14:textId="77777777">
        <w:trPr>
          <w:jc w:val="center"/>
        </w:trPr>
        <w:tc>
          <w:tcPr>
            <w:tcW w:w="2088" w:type="dxa"/>
            <w:vAlign w:val="center"/>
          </w:tcPr>
          <w:p w14:paraId="6356D393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>OpenStack</w:t>
            </w:r>
          </w:p>
        </w:tc>
        <w:tc>
          <w:tcPr>
            <w:tcW w:w="4392" w:type="dxa"/>
            <w:vAlign w:val="center"/>
          </w:tcPr>
          <w:p w14:paraId="14FF9282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 xml:space="preserve">Use supported image export/download and conversion workflows </w:t>
            </w:r>
            <w:proofErr w:type="gramStart"/>
            <w:r>
              <w:rPr>
                <w:sz w:val="15"/>
              </w:rPr>
              <w:t>where</w:t>
            </w:r>
            <w:proofErr w:type="gramEnd"/>
            <w:r>
              <w:rPr>
                <w:sz w:val="15"/>
              </w:rPr>
              <w:t xml:space="preserve"> permitted.</w:t>
            </w:r>
          </w:p>
        </w:tc>
        <w:tc>
          <w:tcPr>
            <w:tcW w:w="4176" w:type="dxa"/>
            <w:vAlign w:val="center"/>
          </w:tcPr>
          <w:p w14:paraId="2BA4527B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>Cloud metadata, networking, and attached-volume dependencies may need manual reconstruction.</w:t>
            </w:r>
          </w:p>
        </w:tc>
      </w:tr>
      <w:tr w:rsidR="00087357" w14:paraId="65CA8B75" w14:textId="77777777">
        <w:trPr>
          <w:jc w:val="center"/>
        </w:trPr>
        <w:tc>
          <w:tcPr>
            <w:tcW w:w="2088" w:type="dxa"/>
            <w:shd w:val="clear" w:color="auto" w:fill="F2F6F8"/>
            <w:vAlign w:val="center"/>
          </w:tcPr>
          <w:p w14:paraId="588C4097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>Azure VMs</w:t>
            </w:r>
          </w:p>
        </w:tc>
        <w:tc>
          <w:tcPr>
            <w:tcW w:w="4392" w:type="dxa"/>
            <w:shd w:val="clear" w:color="auto" w:fill="F2F6F8"/>
            <w:vAlign w:val="center"/>
          </w:tcPr>
          <w:p w14:paraId="1796BCDF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 xml:space="preserve">Assess exportability and supported image/disk conversion for the </w:t>
            </w:r>
            <w:proofErr w:type="gramStart"/>
            <w:r>
              <w:rPr>
                <w:sz w:val="15"/>
              </w:rPr>
              <w:t>particular workload</w:t>
            </w:r>
            <w:proofErr w:type="gramEnd"/>
            <w:r>
              <w:rPr>
                <w:sz w:val="15"/>
              </w:rPr>
              <w:t>.</w:t>
            </w:r>
          </w:p>
        </w:tc>
        <w:tc>
          <w:tcPr>
            <w:tcW w:w="4176" w:type="dxa"/>
            <w:shd w:val="clear" w:color="auto" w:fill="F2F6F8"/>
            <w:vAlign w:val="center"/>
          </w:tcPr>
          <w:p w14:paraId="0CD86C97" w14:textId="77777777" w:rsidR="00087357" w:rsidRDefault="00000000">
            <w:pPr>
              <w:spacing w:after="0" w:line="240" w:lineRule="auto"/>
            </w:pPr>
            <w:r>
              <w:rPr>
                <w:sz w:val="15"/>
              </w:rPr>
              <w:t>Azure services, managed disks, licensing, and cloud-specific integrations may not transfer.</w:t>
            </w:r>
          </w:p>
        </w:tc>
      </w:tr>
    </w:tbl>
    <w:p w14:paraId="265506F5" w14:textId="77777777" w:rsidR="00087357" w:rsidRDefault="00087357">
      <w:pPr>
        <w:spacing w:after="20"/>
      </w:pPr>
    </w:p>
    <w:p w14:paraId="26F8BDB9" w14:textId="77777777" w:rsidR="00087357" w:rsidRDefault="00000000">
      <w:pPr>
        <w:pStyle w:val="Heading2"/>
      </w:pPr>
      <w:r>
        <w:t>High-level VMware migration workflow</w:t>
      </w:r>
    </w:p>
    <w:p w14:paraId="2F931815" w14:textId="77777777" w:rsidR="00087357" w:rsidRDefault="00000000">
      <w:pPr>
        <w:pStyle w:val="ListNumber"/>
        <w:spacing w:after="40"/>
      </w:pPr>
      <w:r>
        <w:t>Inventory VMs, guest OS, firmware, virtual hardware, disks, network adapters, dependencies, and application consistency requirements.</w:t>
      </w:r>
    </w:p>
    <w:p w14:paraId="390FA81C" w14:textId="77777777" w:rsidR="00087357" w:rsidRDefault="00000000">
      <w:pPr>
        <w:pStyle w:val="ListNumber"/>
        <w:spacing w:after="40"/>
      </w:pPr>
      <w:r>
        <w:t>Confirm the source VM and guest OS are supported by the chosen conversion workflow.</w:t>
      </w:r>
    </w:p>
    <w:p w14:paraId="28B102C7" w14:textId="77777777" w:rsidR="00087357" w:rsidRDefault="00000000">
      <w:pPr>
        <w:pStyle w:val="ListNumber"/>
        <w:spacing w:after="40"/>
      </w:pPr>
      <w:r>
        <w:t>Choose a documented provider-based import or offline export/conversion path.</w:t>
      </w:r>
    </w:p>
    <w:p w14:paraId="29C46682" w14:textId="77777777" w:rsidR="00087357" w:rsidRDefault="00000000">
      <w:pPr>
        <w:pStyle w:val="ListNumber"/>
        <w:spacing w:after="40"/>
      </w:pPr>
      <w:r>
        <w:t>Validate OVF/OVA metadata and VMDK format; confirm the disk is a supported variant.</w:t>
      </w:r>
    </w:p>
    <w:p w14:paraId="6E9D5760" w14:textId="77777777" w:rsidR="00087357" w:rsidRDefault="00000000">
      <w:pPr>
        <w:pStyle w:val="ListNumber"/>
        <w:spacing w:after="40"/>
      </w:pPr>
      <w:r>
        <w:t>Convert/import disks and map source networks to target logical networks/VLANs.</w:t>
      </w:r>
    </w:p>
    <w:p w14:paraId="252DE906" w14:textId="77777777" w:rsidR="00087357" w:rsidRDefault="00000000">
      <w:pPr>
        <w:pStyle w:val="ListNumber"/>
        <w:spacing w:after="40"/>
      </w:pPr>
      <w:r>
        <w:t xml:space="preserve">Prepare Windows </w:t>
      </w:r>
      <w:proofErr w:type="spellStart"/>
      <w:r>
        <w:t>VirtIO</w:t>
      </w:r>
      <w:proofErr w:type="spellEnd"/>
      <w:r>
        <w:t xml:space="preserve"> drivers or other required guest drivers before first boot.</w:t>
      </w:r>
    </w:p>
    <w:p w14:paraId="6D515B6D" w14:textId="77777777" w:rsidR="00087357" w:rsidRDefault="00000000">
      <w:pPr>
        <w:pStyle w:val="ListNumber"/>
        <w:spacing w:after="40"/>
      </w:pPr>
      <w:r>
        <w:t>Boot the VM in an isolated test network and validate services, networking, storage, time, and performance.</w:t>
      </w:r>
    </w:p>
    <w:p w14:paraId="652D530A" w14:textId="77777777" w:rsidR="00087357" w:rsidRDefault="00000000">
      <w:pPr>
        <w:pStyle w:val="ListNumber"/>
        <w:spacing w:after="40"/>
      </w:pPr>
      <w:r>
        <w:t>Plan the final shutdown/cutover, application validation, rollback window, and retention of the source VM.</w:t>
      </w:r>
    </w:p>
    <w:p w14:paraId="16D79CF3" w14:textId="77777777" w:rsidR="00087357" w:rsidRDefault="00000000">
      <w:pPr>
        <w:pStyle w:val="Heading2"/>
      </w:pPr>
      <w:r>
        <w:t>Common failure checks</w:t>
      </w:r>
    </w:p>
    <w:p w14:paraId="68ACC27C" w14:textId="77777777" w:rsidR="00087357" w:rsidRDefault="00000000">
      <w:pPr>
        <w:pStyle w:val="ListBullet"/>
        <w:spacing w:after="40"/>
      </w:pPr>
      <w:r>
        <w:t>VMDK format or descriptor errors: verify the disk export format and conversion-tool compatibility.</w:t>
      </w:r>
    </w:p>
    <w:p w14:paraId="46ADEF54" w14:textId="77777777" w:rsidR="00087357" w:rsidRDefault="00000000">
      <w:pPr>
        <w:pStyle w:val="ListBullet"/>
        <w:spacing w:after="40"/>
      </w:pPr>
      <w:r>
        <w:t xml:space="preserve">Guest does not </w:t>
      </w:r>
      <w:proofErr w:type="gramStart"/>
      <w:r>
        <w:t>boot:</w:t>
      </w:r>
      <w:proofErr w:type="gramEnd"/>
      <w:r>
        <w:t xml:space="preserve"> check BIOS/UEFI mode, boot order, controller type, and required storage/network drivers.</w:t>
      </w:r>
    </w:p>
    <w:p w14:paraId="19C35304" w14:textId="77777777" w:rsidR="00087357" w:rsidRDefault="00000000">
      <w:pPr>
        <w:pStyle w:val="ListBullet"/>
        <w:spacing w:after="40"/>
      </w:pPr>
      <w:r>
        <w:t>Network unavailable: verify target network mapping, VLAN, IP configuration, firewall, and driver status.</w:t>
      </w:r>
    </w:p>
    <w:p w14:paraId="755490B3" w14:textId="77777777" w:rsidR="00087357" w:rsidRDefault="00000000">
      <w:pPr>
        <w:pStyle w:val="ListBullet"/>
        <w:spacing w:after="40"/>
      </w:pPr>
      <w:r>
        <w:t>Transfer failure: check storage capacity, permissions, connectivity, logs, and the exact tool versions.</w:t>
      </w:r>
    </w:p>
    <w:p w14:paraId="48401179" w14:textId="77777777" w:rsidR="00087357" w:rsidRDefault="00000000">
      <w:pPr>
        <w:pStyle w:val="ListBullet"/>
        <w:spacing w:after="40"/>
      </w:pPr>
      <w:r>
        <w:t xml:space="preserve">Performance or application errors: </w:t>
      </w:r>
      <w:proofErr w:type="gramStart"/>
      <w:r>
        <w:t>compare</w:t>
      </w:r>
      <w:proofErr w:type="gramEnd"/>
      <w:r>
        <w:t xml:space="preserve"> CPU features, disk layout, guest drivers, and application dependencies.</w:t>
      </w:r>
    </w:p>
    <w:p w14:paraId="5CEB1EE7" w14:textId="77777777" w:rsidR="00087357" w:rsidRDefault="00087357">
      <w:pPr>
        <w:pStyle w:val="Heading1"/>
      </w:pPr>
    </w:p>
    <w:p w14:paraId="430D7CDA" w14:textId="77777777" w:rsidR="00087357" w:rsidRDefault="00087357">
      <w:pPr>
        <w:pStyle w:val="Heading1"/>
      </w:pPr>
    </w:p>
    <w:p w14:paraId="777B977A" w14:textId="77777777" w:rsidR="00087357" w:rsidRDefault="00087357">
      <w:pPr>
        <w:pStyle w:val="Heading1"/>
      </w:pPr>
    </w:p>
    <w:p w14:paraId="5B6F0CD1" w14:textId="77777777" w:rsidR="00087357" w:rsidRDefault="00000000">
      <w:pPr>
        <w:pStyle w:val="Heading1"/>
      </w:pPr>
      <w:r>
        <w:t>8. Platform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48"/>
        <w:gridCol w:w="2154"/>
        <w:gridCol w:w="2173"/>
        <w:gridCol w:w="2189"/>
        <w:gridCol w:w="2176"/>
      </w:tblGrid>
      <w:tr w:rsidR="00087357" w14:paraId="7598F187" w14:textId="77777777">
        <w:trPr>
          <w:jc w:val="center"/>
        </w:trPr>
        <w:tc>
          <w:tcPr>
            <w:tcW w:w="1800" w:type="dxa"/>
            <w:shd w:val="clear" w:color="auto" w:fill="12304A"/>
            <w:vAlign w:val="center"/>
          </w:tcPr>
          <w:p w14:paraId="4E4BA489" w14:textId="77777777" w:rsidR="00087357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w="2232" w:type="dxa"/>
            <w:shd w:val="clear" w:color="auto" w:fill="12304A"/>
            <w:vAlign w:val="center"/>
          </w:tcPr>
          <w:p w14:paraId="46F40A37" w14:textId="77777777" w:rsidR="00087357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6"/>
              </w:rPr>
              <w:t>oVirt</w:t>
            </w:r>
            <w:proofErr w:type="spellEnd"/>
          </w:p>
        </w:tc>
        <w:tc>
          <w:tcPr>
            <w:tcW w:w="2232" w:type="dxa"/>
            <w:shd w:val="clear" w:color="auto" w:fill="12304A"/>
            <w:vAlign w:val="center"/>
          </w:tcPr>
          <w:p w14:paraId="1B38AFC8" w14:textId="77777777" w:rsidR="00087357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6"/>
              </w:rPr>
              <w:t>Proxmox</w:t>
            </w:r>
            <w:proofErr w:type="spellEnd"/>
            <w:r>
              <w:rPr>
                <w:b/>
                <w:color w:val="FFFFFF"/>
                <w:sz w:val="16"/>
              </w:rPr>
              <w:t xml:space="preserve"> VE</w:t>
            </w:r>
          </w:p>
        </w:tc>
        <w:tc>
          <w:tcPr>
            <w:tcW w:w="2232" w:type="dxa"/>
            <w:shd w:val="clear" w:color="auto" w:fill="12304A"/>
            <w:vAlign w:val="center"/>
          </w:tcPr>
          <w:p w14:paraId="68BC504A" w14:textId="77777777" w:rsidR="00087357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HPE VM Essentials</w:t>
            </w:r>
          </w:p>
        </w:tc>
        <w:tc>
          <w:tcPr>
            <w:tcW w:w="2232" w:type="dxa"/>
            <w:shd w:val="clear" w:color="auto" w:fill="12304A"/>
            <w:vAlign w:val="center"/>
          </w:tcPr>
          <w:p w14:paraId="1B610F69" w14:textId="77777777" w:rsidR="00087357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VMware vSphere</w:t>
            </w:r>
          </w:p>
        </w:tc>
      </w:tr>
      <w:tr w:rsidR="00087357" w14:paraId="043F8FE2" w14:textId="77777777">
        <w:trPr>
          <w:jc w:val="center"/>
        </w:trPr>
        <w:tc>
          <w:tcPr>
            <w:tcW w:w="1800" w:type="dxa"/>
            <w:vAlign w:val="center"/>
          </w:tcPr>
          <w:p w14:paraId="0776C5B4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License</w:t>
            </w:r>
          </w:p>
        </w:tc>
        <w:tc>
          <w:tcPr>
            <w:tcW w:w="2232" w:type="dxa"/>
            <w:vAlign w:val="center"/>
          </w:tcPr>
          <w:p w14:paraId="728B2F07" w14:textId="77777777" w:rsidR="00087357" w:rsidRDefault="00000000">
            <w:pPr>
              <w:spacing w:after="0" w:line="240" w:lineRule="auto"/>
            </w:pPr>
            <w:proofErr w:type="gramStart"/>
            <w:r>
              <w:rPr>
                <w:sz w:val="14"/>
              </w:rPr>
              <w:t>Open-source</w:t>
            </w:r>
            <w:proofErr w:type="gramEnd"/>
          </w:p>
        </w:tc>
        <w:tc>
          <w:tcPr>
            <w:tcW w:w="2232" w:type="dxa"/>
            <w:vAlign w:val="center"/>
          </w:tcPr>
          <w:p w14:paraId="609818ED" w14:textId="77777777" w:rsidR="00087357" w:rsidRDefault="00000000">
            <w:pPr>
              <w:spacing w:after="0" w:line="240" w:lineRule="auto"/>
            </w:pPr>
            <w:proofErr w:type="gramStart"/>
            <w:r>
              <w:rPr>
                <w:sz w:val="14"/>
              </w:rPr>
              <w:t>Open-source</w:t>
            </w:r>
            <w:proofErr w:type="gramEnd"/>
          </w:p>
        </w:tc>
        <w:tc>
          <w:tcPr>
            <w:tcW w:w="2232" w:type="dxa"/>
            <w:vAlign w:val="center"/>
          </w:tcPr>
          <w:p w14:paraId="46011FD4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Commercial</w:t>
            </w:r>
          </w:p>
        </w:tc>
        <w:tc>
          <w:tcPr>
            <w:tcW w:w="2232" w:type="dxa"/>
            <w:vAlign w:val="center"/>
          </w:tcPr>
          <w:p w14:paraId="342ED8CA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Commercial</w:t>
            </w:r>
          </w:p>
        </w:tc>
      </w:tr>
      <w:tr w:rsidR="00087357" w14:paraId="1F928DAE" w14:textId="77777777">
        <w:trPr>
          <w:jc w:val="center"/>
        </w:trPr>
        <w:tc>
          <w:tcPr>
            <w:tcW w:w="1800" w:type="dxa"/>
            <w:shd w:val="clear" w:color="auto" w:fill="F2F6F8"/>
            <w:vAlign w:val="center"/>
          </w:tcPr>
          <w:p w14:paraId="157F840E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Hypervisor</w:t>
            </w:r>
          </w:p>
        </w:tc>
        <w:tc>
          <w:tcPr>
            <w:tcW w:w="2232" w:type="dxa"/>
            <w:shd w:val="clear" w:color="auto" w:fill="F2F6F8"/>
            <w:vAlign w:val="center"/>
          </w:tcPr>
          <w:p w14:paraId="57F9D457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KVM/QEMU</w:t>
            </w:r>
          </w:p>
        </w:tc>
        <w:tc>
          <w:tcPr>
            <w:tcW w:w="2232" w:type="dxa"/>
            <w:shd w:val="clear" w:color="auto" w:fill="F2F6F8"/>
            <w:vAlign w:val="center"/>
          </w:tcPr>
          <w:p w14:paraId="265403D8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KVM/QEMU; LXC containers</w:t>
            </w:r>
          </w:p>
        </w:tc>
        <w:tc>
          <w:tcPr>
            <w:tcW w:w="2232" w:type="dxa"/>
            <w:shd w:val="clear" w:color="auto" w:fill="F2F6F8"/>
            <w:vAlign w:val="center"/>
          </w:tcPr>
          <w:p w14:paraId="00244113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HPE HVM (KVM-based, per supplied notes)</w:t>
            </w:r>
          </w:p>
        </w:tc>
        <w:tc>
          <w:tcPr>
            <w:tcW w:w="2232" w:type="dxa"/>
            <w:shd w:val="clear" w:color="auto" w:fill="F2F6F8"/>
            <w:vAlign w:val="center"/>
          </w:tcPr>
          <w:p w14:paraId="09E133F2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 xml:space="preserve">VMware </w:t>
            </w:r>
            <w:proofErr w:type="spellStart"/>
            <w:r>
              <w:rPr>
                <w:sz w:val="14"/>
              </w:rPr>
              <w:t>ESXi</w:t>
            </w:r>
            <w:proofErr w:type="spellEnd"/>
          </w:p>
        </w:tc>
      </w:tr>
      <w:tr w:rsidR="00087357" w14:paraId="79231803" w14:textId="77777777">
        <w:trPr>
          <w:jc w:val="center"/>
        </w:trPr>
        <w:tc>
          <w:tcPr>
            <w:tcW w:w="1800" w:type="dxa"/>
            <w:vAlign w:val="center"/>
          </w:tcPr>
          <w:p w14:paraId="545207FE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Management</w:t>
            </w:r>
          </w:p>
        </w:tc>
        <w:tc>
          <w:tcPr>
            <w:tcW w:w="2232" w:type="dxa"/>
            <w:vAlign w:val="center"/>
          </w:tcPr>
          <w:p w14:paraId="6A098A47" w14:textId="77777777" w:rsidR="00087357" w:rsidRDefault="00000000">
            <w:pPr>
              <w:spacing w:after="0" w:line="240" w:lineRule="auto"/>
            </w:pPr>
            <w:proofErr w:type="spellStart"/>
            <w:r>
              <w:rPr>
                <w:sz w:val="14"/>
              </w:rPr>
              <w:t>oVirt</w:t>
            </w:r>
            <w:proofErr w:type="spellEnd"/>
            <w:r>
              <w:rPr>
                <w:sz w:val="14"/>
              </w:rPr>
              <w:t xml:space="preserve"> Engine</w:t>
            </w:r>
          </w:p>
        </w:tc>
        <w:tc>
          <w:tcPr>
            <w:tcW w:w="2232" w:type="dxa"/>
            <w:vAlign w:val="center"/>
          </w:tcPr>
          <w:p w14:paraId="0B0AB6A3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Integrated web UI</w:t>
            </w:r>
          </w:p>
        </w:tc>
        <w:tc>
          <w:tcPr>
            <w:tcW w:w="2232" w:type="dxa"/>
            <w:vAlign w:val="center"/>
          </w:tcPr>
          <w:p w14:paraId="350D53D2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HPE VM Essentials Manager</w:t>
            </w:r>
          </w:p>
        </w:tc>
        <w:tc>
          <w:tcPr>
            <w:tcW w:w="2232" w:type="dxa"/>
            <w:vAlign w:val="center"/>
          </w:tcPr>
          <w:p w14:paraId="5B557980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vCenter</w:t>
            </w:r>
          </w:p>
        </w:tc>
      </w:tr>
      <w:tr w:rsidR="00087357" w14:paraId="16647279" w14:textId="77777777">
        <w:trPr>
          <w:jc w:val="center"/>
        </w:trPr>
        <w:tc>
          <w:tcPr>
            <w:tcW w:w="1800" w:type="dxa"/>
            <w:shd w:val="clear" w:color="auto" w:fill="F2F6F8"/>
            <w:vAlign w:val="center"/>
          </w:tcPr>
          <w:p w14:paraId="525D163D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HA / live migration</w:t>
            </w:r>
          </w:p>
        </w:tc>
        <w:tc>
          <w:tcPr>
            <w:tcW w:w="2232" w:type="dxa"/>
            <w:shd w:val="clear" w:color="auto" w:fill="F2F6F8"/>
            <w:vAlign w:val="center"/>
          </w:tcPr>
          <w:p w14:paraId="582AF268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Yes, with prerequisites</w:t>
            </w:r>
          </w:p>
        </w:tc>
        <w:tc>
          <w:tcPr>
            <w:tcW w:w="2232" w:type="dxa"/>
            <w:shd w:val="clear" w:color="auto" w:fill="F2F6F8"/>
            <w:vAlign w:val="center"/>
          </w:tcPr>
          <w:p w14:paraId="02A26E3B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Yes, with prerequisites</w:t>
            </w:r>
          </w:p>
        </w:tc>
        <w:tc>
          <w:tcPr>
            <w:tcW w:w="2232" w:type="dxa"/>
            <w:shd w:val="clear" w:color="auto" w:fill="F2F6F8"/>
            <w:vAlign w:val="center"/>
          </w:tcPr>
          <w:p w14:paraId="2C6B76DF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Yes, subject to configuration</w:t>
            </w:r>
          </w:p>
        </w:tc>
        <w:tc>
          <w:tcPr>
            <w:tcW w:w="2232" w:type="dxa"/>
            <w:shd w:val="clear" w:color="auto" w:fill="F2F6F8"/>
            <w:vAlign w:val="center"/>
          </w:tcPr>
          <w:p w14:paraId="31BC0DA6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Yes, feature/licensing dependent</w:t>
            </w:r>
          </w:p>
        </w:tc>
      </w:tr>
      <w:tr w:rsidR="00087357" w14:paraId="73AE9577" w14:textId="77777777">
        <w:trPr>
          <w:jc w:val="center"/>
        </w:trPr>
        <w:tc>
          <w:tcPr>
            <w:tcW w:w="1800" w:type="dxa"/>
            <w:vAlign w:val="center"/>
          </w:tcPr>
          <w:p w14:paraId="26884547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Storage examples</w:t>
            </w:r>
          </w:p>
        </w:tc>
        <w:tc>
          <w:tcPr>
            <w:tcW w:w="2232" w:type="dxa"/>
            <w:vAlign w:val="center"/>
          </w:tcPr>
          <w:p w14:paraId="54D68CE8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NFS, iSCSI, FC, local</w:t>
            </w:r>
          </w:p>
        </w:tc>
        <w:tc>
          <w:tcPr>
            <w:tcW w:w="2232" w:type="dxa"/>
            <w:vAlign w:val="center"/>
          </w:tcPr>
          <w:p w14:paraId="45E8917F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ZFS, Ceph, NFS, iSCSI, local</w:t>
            </w:r>
          </w:p>
        </w:tc>
        <w:tc>
          <w:tcPr>
            <w:tcW w:w="2232" w:type="dxa"/>
            <w:vAlign w:val="center"/>
          </w:tcPr>
          <w:p w14:paraId="0622A096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Supported enterprise storage</w:t>
            </w:r>
          </w:p>
        </w:tc>
        <w:tc>
          <w:tcPr>
            <w:tcW w:w="2232" w:type="dxa"/>
            <w:vAlign w:val="center"/>
          </w:tcPr>
          <w:p w14:paraId="79776019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 xml:space="preserve">VMFS, NFS, </w:t>
            </w:r>
            <w:proofErr w:type="spellStart"/>
            <w:r>
              <w:rPr>
                <w:sz w:val="14"/>
              </w:rPr>
              <w:t>vSAN</w:t>
            </w:r>
            <w:proofErr w:type="spellEnd"/>
          </w:p>
        </w:tc>
      </w:tr>
      <w:tr w:rsidR="00087357" w14:paraId="2DC83D4B" w14:textId="77777777">
        <w:trPr>
          <w:jc w:val="center"/>
        </w:trPr>
        <w:tc>
          <w:tcPr>
            <w:tcW w:w="1800" w:type="dxa"/>
            <w:shd w:val="clear" w:color="auto" w:fill="F2F6F8"/>
            <w:vAlign w:val="center"/>
          </w:tcPr>
          <w:p w14:paraId="0BA8F623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VMware migration</w:t>
            </w:r>
          </w:p>
        </w:tc>
        <w:tc>
          <w:tcPr>
            <w:tcW w:w="2232" w:type="dxa"/>
            <w:shd w:val="clear" w:color="auto" w:fill="F2F6F8"/>
            <w:vAlign w:val="center"/>
          </w:tcPr>
          <w:p w14:paraId="6BF75296" w14:textId="69A6BAFD" w:rsidR="00087357" w:rsidRPr="00F27EB9" w:rsidRDefault="00000000">
            <w:pPr>
              <w:spacing w:after="0" w:line="240" w:lineRule="auto"/>
              <w:rPr>
                <w:sz w:val="14"/>
              </w:rPr>
            </w:pPr>
            <w:r>
              <w:rPr>
                <w:sz w:val="14"/>
              </w:rPr>
              <w:t>Import/</w:t>
            </w:r>
            <w:r w:rsidR="00F27EB9" w:rsidRPr="00F27EB9">
              <w:rPr>
                <w:sz w:val="14"/>
              </w:rPr>
              <w:t>Native virt-v2v workflow</w:t>
            </w:r>
          </w:p>
        </w:tc>
        <w:tc>
          <w:tcPr>
            <w:tcW w:w="2232" w:type="dxa"/>
            <w:shd w:val="clear" w:color="auto" w:fill="F2F6F8"/>
            <w:vAlign w:val="center"/>
          </w:tcPr>
          <w:p w14:paraId="0A283556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Import/conversion workflows</w:t>
            </w:r>
          </w:p>
        </w:tc>
        <w:tc>
          <w:tcPr>
            <w:tcW w:w="2232" w:type="dxa"/>
            <w:shd w:val="clear" w:color="auto" w:fill="F2F6F8"/>
            <w:vAlign w:val="center"/>
          </w:tcPr>
          <w:p w14:paraId="4392ECFF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VMware integration/conversion claims require validation</w:t>
            </w:r>
          </w:p>
        </w:tc>
        <w:tc>
          <w:tcPr>
            <w:tcW w:w="2232" w:type="dxa"/>
            <w:shd w:val="clear" w:color="auto" w:fill="F2F6F8"/>
            <w:vAlign w:val="center"/>
          </w:tcPr>
          <w:p w14:paraId="769ADAC9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Native within VMware</w:t>
            </w:r>
          </w:p>
        </w:tc>
      </w:tr>
      <w:tr w:rsidR="00087357" w14:paraId="69D4E0A1" w14:textId="77777777">
        <w:trPr>
          <w:jc w:val="center"/>
        </w:trPr>
        <w:tc>
          <w:tcPr>
            <w:tcW w:w="1800" w:type="dxa"/>
            <w:vAlign w:val="center"/>
          </w:tcPr>
          <w:p w14:paraId="75E42BDA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Support</w:t>
            </w:r>
          </w:p>
        </w:tc>
        <w:tc>
          <w:tcPr>
            <w:tcW w:w="2232" w:type="dxa"/>
            <w:vAlign w:val="center"/>
          </w:tcPr>
          <w:p w14:paraId="4D734095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Community / third-party</w:t>
            </w:r>
          </w:p>
        </w:tc>
        <w:tc>
          <w:tcPr>
            <w:tcW w:w="2232" w:type="dxa"/>
            <w:vAlign w:val="center"/>
          </w:tcPr>
          <w:p w14:paraId="59816DAB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Community / paid subscription</w:t>
            </w:r>
          </w:p>
        </w:tc>
        <w:tc>
          <w:tcPr>
            <w:tcW w:w="2232" w:type="dxa"/>
            <w:vAlign w:val="center"/>
          </w:tcPr>
          <w:p w14:paraId="55591548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HPE enterprise support</w:t>
            </w:r>
          </w:p>
        </w:tc>
        <w:tc>
          <w:tcPr>
            <w:tcW w:w="2232" w:type="dxa"/>
            <w:vAlign w:val="center"/>
          </w:tcPr>
          <w:p w14:paraId="55925507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VMware/Broadcom support</w:t>
            </w:r>
          </w:p>
        </w:tc>
      </w:tr>
      <w:tr w:rsidR="00087357" w14:paraId="17D514DF" w14:textId="77777777">
        <w:trPr>
          <w:jc w:val="center"/>
        </w:trPr>
        <w:tc>
          <w:tcPr>
            <w:tcW w:w="1800" w:type="dxa"/>
            <w:shd w:val="clear" w:color="auto" w:fill="F2F6F8"/>
            <w:vAlign w:val="center"/>
          </w:tcPr>
          <w:p w14:paraId="26BA80B1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Main advantage</w:t>
            </w:r>
          </w:p>
        </w:tc>
        <w:tc>
          <w:tcPr>
            <w:tcW w:w="2232" w:type="dxa"/>
            <w:shd w:val="clear" w:color="auto" w:fill="F2F6F8"/>
            <w:vAlign w:val="center"/>
          </w:tcPr>
          <w:p w14:paraId="5BE7D7F9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Open-source centralized virtualization management</w:t>
            </w:r>
          </w:p>
        </w:tc>
        <w:tc>
          <w:tcPr>
            <w:tcW w:w="2232" w:type="dxa"/>
            <w:shd w:val="clear" w:color="auto" w:fill="F2F6F8"/>
            <w:vAlign w:val="center"/>
          </w:tcPr>
          <w:p w14:paraId="685544D8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Flexible open-source platform with integrated UI</w:t>
            </w:r>
          </w:p>
        </w:tc>
        <w:tc>
          <w:tcPr>
            <w:tcW w:w="2232" w:type="dxa"/>
            <w:shd w:val="clear" w:color="auto" w:fill="F2F6F8"/>
            <w:vAlign w:val="center"/>
          </w:tcPr>
          <w:p w14:paraId="2A3F070F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Commercial alternative to VMware</w:t>
            </w:r>
          </w:p>
        </w:tc>
        <w:tc>
          <w:tcPr>
            <w:tcW w:w="2232" w:type="dxa"/>
            <w:shd w:val="clear" w:color="auto" w:fill="F2F6F8"/>
            <w:vAlign w:val="center"/>
          </w:tcPr>
          <w:p w14:paraId="4EFE9633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Mature VMware ecosystem</w:t>
            </w:r>
          </w:p>
        </w:tc>
      </w:tr>
      <w:tr w:rsidR="00087357" w14:paraId="49037FEF" w14:textId="77777777">
        <w:trPr>
          <w:jc w:val="center"/>
        </w:trPr>
        <w:tc>
          <w:tcPr>
            <w:tcW w:w="1800" w:type="dxa"/>
            <w:vAlign w:val="center"/>
          </w:tcPr>
          <w:p w14:paraId="648E6987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Main concern</w:t>
            </w:r>
          </w:p>
        </w:tc>
        <w:tc>
          <w:tcPr>
            <w:tcW w:w="2232" w:type="dxa"/>
            <w:vAlign w:val="center"/>
          </w:tcPr>
          <w:p w14:paraId="46735AED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Lifecycle, compatibility, and support ownership</w:t>
            </w:r>
          </w:p>
        </w:tc>
        <w:tc>
          <w:tcPr>
            <w:tcW w:w="2232" w:type="dxa"/>
            <w:vAlign w:val="center"/>
          </w:tcPr>
          <w:p w14:paraId="52740BBD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Validate enterprise support and compatibility</w:t>
            </w:r>
          </w:p>
        </w:tc>
        <w:tc>
          <w:tcPr>
            <w:tcW w:w="2232" w:type="dxa"/>
            <w:vAlign w:val="center"/>
          </w:tcPr>
          <w:p w14:paraId="48F3431A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Subscription cost and exact compatibility</w:t>
            </w:r>
          </w:p>
        </w:tc>
        <w:tc>
          <w:tcPr>
            <w:tcW w:w="2232" w:type="dxa"/>
            <w:vAlign w:val="center"/>
          </w:tcPr>
          <w:p w14:paraId="3762166F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Subscription cost and edition-specific entitlements</w:t>
            </w:r>
          </w:p>
        </w:tc>
      </w:tr>
    </w:tbl>
    <w:p w14:paraId="264FC4F9" w14:textId="77777777" w:rsidR="00087357" w:rsidRDefault="00087357">
      <w:pPr>
        <w:spacing w:after="20"/>
      </w:pPr>
    </w:p>
    <w:p w14:paraId="21418E09" w14:textId="77777777" w:rsidR="00087357" w:rsidRDefault="00000000">
      <w:pPr>
        <w:pStyle w:val="Heading1"/>
      </w:pPr>
      <w:r>
        <w:t>9. Deployment and operational recommendations</w:t>
      </w:r>
    </w:p>
    <w:p w14:paraId="6AF2B866" w14:textId="77777777" w:rsidR="00087357" w:rsidRDefault="00000000">
      <w:pPr>
        <w:pStyle w:val="Heading2"/>
      </w:pPr>
      <w:r>
        <w:t>Engine minimum and recommended resources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5"/>
        <w:gridCol w:w="4262"/>
        <w:gridCol w:w="4343"/>
      </w:tblGrid>
      <w:tr w:rsidR="00087357" w14:paraId="19227109" w14:textId="77777777">
        <w:trPr>
          <w:jc w:val="center"/>
        </w:trPr>
        <w:tc>
          <w:tcPr>
            <w:tcW w:w="1872" w:type="dxa"/>
            <w:shd w:val="clear" w:color="auto" w:fill="12304A"/>
            <w:vAlign w:val="center"/>
          </w:tcPr>
          <w:p w14:paraId="7C9905AE" w14:textId="77777777" w:rsidR="00087357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Resource</w:t>
            </w:r>
          </w:p>
        </w:tc>
        <w:tc>
          <w:tcPr>
            <w:tcW w:w="4392" w:type="dxa"/>
            <w:shd w:val="clear" w:color="auto" w:fill="12304A"/>
            <w:vAlign w:val="center"/>
          </w:tcPr>
          <w:p w14:paraId="157BE251" w14:textId="77777777" w:rsidR="00087357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Minimum stated in supplied notes</w:t>
            </w:r>
          </w:p>
        </w:tc>
        <w:tc>
          <w:tcPr>
            <w:tcW w:w="4464" w:type="dxa"/>
            <w:shd w:val="clear" w:color="auto" w:fill="12304A"/>
            <w:vAlign w:val="center"/>
          </w:tcPr>
          <w:p w14:paraId="4CA60BE0" w14:textId="77777777" w:rsidR="00087357" w:rsidRDefault="00000000">
            <w:pPr>
              <w:spacing w:after="0" w:line="240" w:lineRule="auto"/>
            </w:pPr>
            <w:proofErr w:type="gramStart"/>
            <w:r>
              <w:rPr>
                <w:b/>
                <w:color w:val="FFFFFF"/>
                <w:sz w:val="16"/>
              </w:rPr>
              <w:t>Recommended</w:t>
            </w:r>
            <w:proofErr w:type="gramEnd"/>
            <w:r>
              <w:rPr>
                <w:b/>
                <w:color w:val="FFFFFF"/>
                <w:sz w:val="16"/>
              </w:rPr>
              <w:t xml:space="preserve"> stated in supplied notes</w:t>
            </w:r>
          </w:p>
        </w:tc>
      </w:tr>
      <w:tr w:rsidR="00087357" w14:paraId="63B5B540" w14:textId="77777777">
        <w:trPr>
          <w:jc w:val="center"/>
        </w:trPr>
        <w:tc>
          <w:tcPr>
            <w:tcW w:w="1872" w:type="dxa"/>
            <w:vAlign w:val="center"/>
          </w:tcPr>
          <w:p w14:paraId="595725E2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CPU</w:t>
            </w:r>
          </w:p>
        </w:tc>
        <w:tc>
          <w:tcPr>
            <w:tcW w:w="4392" w:type="dxa"/>
            <w:vAlign w:val="center"/>
          </w:tcPr>
          <w:p w14:paraId="7F55311B" w14:textId="77777777" w:rsidR="00087357" w:rsidRDefault="00000000">
            <w:pPr>
              <w:spacing w:after="0" w:line="240" w:lineRule="auto"/>
            </w:pPr>
            <w:proofErr w:type="gramStart"/>
            <w:r>
              <w:rPr>
                <w:sz w:val="16"/>
              </w:rPr>
              <w:t>Dual-core</w:t>
            </w:r>
            <w:proofErr w:type="gramEnd"/>
            <w:r>
              <w:rPr>
                <w:sz w:val="16"/>
              </w:rPr>
              <w:t xml:space="preserve"> x86_64</w:t>
            </w:r>
          </w:p>
        </w:tc>
        <w:tc>
          <w:tcPr>
            <w:tcW w:w="4464" w:type="dxa"/>
            <w:vAlign w:val="center"/>
          </w:tcPr>
          <w:p w14:paraId="0249C921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Quad-core x86_64 or multiple dual-core CPUs</w:t>
            </w:r>
          </w:p>
        </w:tc>
      </w:tr>
      <w:tr w:rsidR="00087357" w14:paraId="4A847C6B" w14:textId="77777777">
        <w:trPr>
          <w:jc w:val="center"/>
        </w:trPr>
        <w:tc>
          <w:tcPr>
            <w:tcW w:w="1872" w:type="dxa"/>
            <w:shd w:val="clear" w:color="auto" w:fill="F2F6F8"/>
            <w:vAlign w:val="center"/>
          </w:tcPr>
          <w:p w14:paraId="4CF75648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Memory</w:t>
            </w:r>
          </w:p>
        </w:tc>
        <w:tc>
          <w:tcPr>
            <w:tcW w:w="4392" w:type="dxa"/>
            <w:shd w:val="clear" w:color="auto" w:fill="F2F6F8"/>
            <w:vAlign w:val="center"/>
          </w:tcPr>
          <w:p w14:paraId="47B5E691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4 GB available RAM if Data Warehouse is not installed and no existing process consumes it</w:t>
            </w:r>
          </w:p>
        </w:tc>
        <w:tc>
          <w:tcPr>
            <w:tcW w:w="4464" w:type="dxa"/>
            <w:shd w:val="clear" w:color="auto" w:fill="F2F6F8"/>
            <w:vAlign w:val="center"/>
          </w:tcPr>
          <w:p w14:paraId="285B1D6C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16 GB system RAM</w:t>
            </w:r>
          </w:p>
        </w:tc>
      </w:tr>
      <w:tr w:rsidR="00087357" w14:paraId="65A21391" w14:textId="77777777">
        <w:trPr>
          <w:jc w:val="center"/>
        </w:trPr>
        <w:tc>
          <w:tcPr>
            <w:tcW w:w="1872" w:type="dxa"/>
            <w:vAlign w:val="center"/>
          </w:tcPr>
          <w:p w14:paraId="57A5F9F3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Disk</w:t>
            </w:r>
          </w:p>
        </w:tc>
        <w:tc>
          <w:tcPr>
            <w:tcW w:w="4392" w:type="dxa"/>
            <w:vAlign w:val="center"/>
          </w:tcPr>
          <w:p w14:paraId="1572BA65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25 GB locally accessible, writable space</w:t>
            </w:r>
          </w:p>
        </w:tc>
        <w:tc>
          <w:tcPr>
            <w:tcW w:w="4464" w:type="dxa"/>
            <w:vAlign w:val="center"/>
          </w:tcPr>
          <w:p w14:paraId="6D65635F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50 GB locally accessible, writable space</w:t>
            </w:r>
          </w:p>
        </w:tc>
      </w:tr>
      <w:tr w:rsidR="00087357" w14:paraId="41FEDF35" w14:textId="77777777">
        <w:trPr>
          <w:jc w:val="center"/>
        </w:trPr>
        <w:tc>
          <w:tcPr>
            <w:tcW w:w="1872" w:type="dxa"/>
            <w:shd w:val="clear" w:color="auto" w:fill="F2F6F8"/>
            <w:vAlign w:val="center"/>
          </w:tcPr>
          <w:p w14:paraId="15D59CC9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Network</w:t>
            </w:r>
          </w:p>
        </w:tc>
        <w:tc>
          <w:tcPr>
            <w:tcW w:w="4392" w:type="dxa"/>
            <w:shd w:val="clear" w:color="auto" w:fill="F2F6F8"/>
            <w:vAlign w:val="center"/>
          </w:tcPr>
          <w:p w14:paraId="3EEC8F34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One NIC with at least 1 Gbps</w:t>
            </w:r>
          </w:p>
        </w:tc>
        <w:tc>
          <w:tcPr>
            <w:tcW w:w="4464" w:type="dxa"/>
            <w:shd w:val="clear" w:color="auto" w:fill="F2F6F8"/>
            <w:vAlign w:val="center"/>
          </w:tcPr>
          <w:p w14:paraId="143EA2F9" w14:textId="77777777" w:rsidR="00087357" w:rsidRDefault="00000000">
            <w:pPr>
              <w:spacing w:after="0" w:line="240" w:lineRule="auto"/>
            </w:pPr>
            <w:r>
              <w:rPr>
                <w:sz w:val="16"/>
              </w:rPr>
              <w:t>One NIC with at least 1 Gbps</w:t>
            </w:r>
          </w:p>
        </w:tc>
      </w:tr>
    </w:tbl>
    <w:p w14:paraId="69C5C94C" w14:textId="77777777" w:rsidR="00087357" w:rsidRDefault="00087357">
      <w:pPr>
        <w:spacing w:after="20"/>
      </w:pPr>
    </w:p>
    <w:p w14:paraId="63C848AA" w14:textId="77777777" w:rsidR="00087357" w:rsidRDefault="00000000">
      <w:r>
        <w:t>These are the values in the supplied notes, not a substitute for sizing the Engine, Data Warehouse, database, and VM count against the current official prerequisites.</w:t>
      </w:r>
    </w:p>
    <w:p w14:paraId="15989CB8" w14:textId="04A686D3" w:rsidR="00087357" w:rsidRDefault="00F27EB9">
      <w:pPr>
        <w:pStyle w:val="Heading2"/>
      </w:pPr>
      <w:r>
        <w:t xml:space="preserve"> Recommadation checklist</w:t>
      </w:r>
    </w:p>
    <w:p w14:paraId="1AC0F518" w14:textId="77777777" w:rsidR="00087357" w:rsidRDefault="00000000">
      <w:pPr>
        <w:pStyle w:val="ListBullet"/>
        <w:spacing w:after="40"/>
      </w:pPr>
      <w:r>
        <w:t>Back up the Engine immediately after deployment, store a separate copy, and test restore.</w:t>
      </w:r>
    </w:p>
    <w:p w14:paraId="778760AC" w14:textId="77777777" w:rsidR="00087357" w:rsidRDefault="00000000">
      <w:pPr>
        <w:pStyle w:val="ListBullet"/>
        <w:spacing w:after="40"/>
      </w:pPr>
      <w:r>
        <w:t>Keep host and VM time synchronized with NTP; use UTC where recommended.</w:t>
      </w:r>
    </w:p>
    <w:p w14:paraId="1F94A737" w14:textId="77777777" w:rsidR="00087357" w:rsidRDefault="00000000">
      <w:pPr>
        <w:pStyle w:val="ListBullet"/>
        <w:spacing w:after="40"/>
      </w:pPr>
      <w:r>
        <w:t>Maintain accurate environment documentation and automate repeatable deployments where appropriate.</w:t>
      </w:r>
    </w:p>
    <w:p w14:paraId="24DF9EDB" w14:textId="77777777" w:rsidR="00087357" w:rsidRDefault="00000000">
      <w:pPr>
        <w:pStyle w:val="ListBullet"/>
        <w:spacing w:after="40"/>
      </w:pPr>
      <w:r>
        <w:t>Use consistent host hardware/firmware within a cluster.</w:t>
      </w:r>
    </w:p>
    <w:p w14:paraId="31DE020A" w14:textId="77777777" w:rsidR="00087357" w:rsidRDefault="00000000">
      <w:pPr>
        <w:pStyle w:val="ListBullet"/>
        <w:spacing w:after="40"/>
      </w:pPr>
      <w:r>
        <w:t>Configure fencing and test the host-failure workflow.</w:t>
      </w:r>
    </w:p>
    <w:p w14:paraId="2D01023D" w14:textId="77777777" w:rsidR="00087357" w:rsidRDefault="00000000">
      <w:pPr>
        <w:pStyle w:val="ListBullet"/>
        <w:spacing w:after="40"/>
      </w:pPr>
      <w:r>
        <w:t>Bond NICs and separate traffic; validate VLAN and MTU end-to-end.</w:t>
      </w:r>
    </w:p>
    <w:p w14:paraId="1ABFB860" w14:textId="4B032D3B" w:rsidR="00087357" w:rsidRDefault="00000000">
      <w:pPr>
        <w:pStyle w:val="ListBullet"/>
        <w:spacing w:after="40"/>
      </w:pPr>
      <w:r w:rsidRPr="00F27EB9">
        <w:t xml:space="preserve">Create a separate data center and cluster for the </w:t>
      </w:r>
      <w:proofErr w:type="spellStart"/>
      <w:r w:rsidRPr="00F27EB9">
        <w:t>oVirt</w:t>
      </w:r>
      <w:proofErr w:type="spellEnd"/>
      <w:r w:rsidRPr="00F27EB9">
        <w:t xml:space="preserve"> Engine and other infrastructure-level services, if the environment is large enough to allow it. Although the Engine virtual machine can run on hosts in a regular cluster, separation from production virtual machines helps facilitate backup schedules, performance, availability, and security</w:t>
      </w:r>
    </w:p>
    <w:p w14:paraId="48110906" w14:textId="77777777" w:rsidR="00087357" w:rsidRDefault="00000000">
      <w:pPr>
        <w:pStyle w:val="ListBullet"/>
        <w:spacing w:after="40"/>
      </w:pPr>
      <w:r>
        <w:t>Ensure surviving hosts have sufficient CPU and RAM to run workloads and recover the Engine VM.</w:t>
      </w:r>
    </w:p>
    <w:p w14:paraId="50941654" w14:textId="77777777" w:rsidR="00087357" w:rsidRDefault="00000000">
      <w:pPr>
        <w:pStyle w:val="ListBullet"/>
        <w:spacing w:after="40"/>
      </w:pPr>
      <w:r>
        <w:t>Monitor capacity, storage latency, networking, backup status, and security advisories.</w:t>
      </w:r>
    </w:p>
    <w:p w14:paraId="150AD6CF" w14:textId="77777777" w:rsidR="00F27EB9" w:rsidRDefault="00F27EB9" w:rsidP="00F27EB9">
      <w:pPr>
        <w:pStyle w:val="ListBullet"/>
        <w:rPr>
          <w:rFonts w:eastAsia="Times New Roman" w:cs="Times New Roman"/>
          <w:sz w:val="24"/>
          <w:szCs w:val="24"/>
          <w:lang w:val="en-IN" w:eastAsia="en-IN"/>
        </w:rPr>
      </w:pPr>
      <w:r>
        <w:t>Do not disable </w:t>
      </w:r>
      <w:proofErr w:type="spellStart"/>
      <w:r>
        <w:rPr>
          <w:rStyle w:val="HTMLCode"/>
          <w:rFonts w:ascii="Consolas" w:eastAsiaTheme="minorEastAsia" w:hAnsi="Consolas"/>
          <w:color w:val="C7254E"/>
          <w:sz w:val="22"/>
          <w:szCs w:val="22"/>
          <w:shd w:val="clear" w:color="auto" w:fill="F9F2F4"/>
        </w:rPr>
        <w:t>firewalld</w:t>
      </w:r>
      <w:proofErr w:type="spellEnd"/>
      <w:r>
        <w:t>.</w:t>
      </w:r>
    </w:p>
    <w:p w14:paraId="0D25E64C" w14:textId="309917EE" w:rsidR="00F27EB9" w:rsidRDefault="00F27EB9">
      <w:pPr>
        <w:pStyle w:val="ListBullet"/>
        <w:spacing w:after="40"/>
      </w:pPr>
      <w:r w:rsidRPr="00F27EB9">
        <w:lastRenderedPageBreak/>
        <w:t>A storage domain dedicated to the Engine virtual machine is created during self-hosted engine deployment. Do not use this storage domain for any other virtual machines</w:t>
      </w:r>
    </w:p>
    <w:p w14:paraId="4E522983" w14:textId="77777777" w:rsidR="00F27EB9" w:rsidRDefault="00F27EB9" w:rsidP="00F27EB9">
      <w:pPr>
        <w:pStyle w:val="ListBullet"/>
        <w:rPr>
          <w:rFonts w:eastAsia="Times New Roman" w:cs="Times New Roman"/>
          <w:sz w:val="24"/>
          <w:szCs w:val="24"/>
          <w:lang w:val="en-IN" w:eastAsia="en-IN"/>
        </w:rPr>
      </w:pPr>
      <w:r>
        <w:t xml:space="preserve">If you are anticipating heavy storage workloads, separate </w:t>
      </w:r>
      <w:proofErr w:type="gramStart"/>
      <w:r>
        <w:t>the migration</w:t>
      </w:r>
      <w:proofErr w:type="gramEnd"/>
      <w:r>
        <w:t>, management, and storage networks to reduce the impact on the Engine virtual machine’s health.</w:t>
      </w:r>
    </w:p>
    <w:p w14:paraId="410F5B7C" w14:textId="77777777" w:rsidR="00F27EB9" w:rsidRDefault="00F27EB9" w:rsidP="00F27EB9">
      <w:pPr>
        <w:pStyle w:val="ListBullet"/>
      </w:pPr>
      <w:r>
        <w:t xml:space="preserve">Although there is technically no hard limit on the number of hosts per cluster, limit self-hosted engine nodes to </w:t>
      </w:r>
      <w:r w:rsidRPr="00F27EB9">
        <w:rPr>
          <w:b/>
          <w:bCs/>
        </w:rPr>
        <w:t>7 nodes per cluster</w:t>
      </w:r>
      <w:r>
        <w:t>. Distribute the servers in a way that allows better resilience (such as in different racks).</w:t>
      </w:r>
    </w:p>
    <w:p w14:paraId="0978E870" w14:textId="77777777" w:rsidR="007D1654" w:rsidRDefault="007D1654" w:rsidP="007D1654">
      <w:pPr>
        <w:pStyle w:val="ListBullet"/>
        <w:rPr>
          <w:rFonts w:eastAsia="Times New Roman" w:cs="Times New Roman"/>
          <w:sz w:val="24"/>
          <w:szCs w:val="24"/>
          <w:lang w:val="en-IN" w:eastAsia="en-IN"/>
        </w:rPr>
      </w:pPr>
      <w:r>
        <w:t xml:space="preserve">Standardize the hosts in the same cluster. This </w:t>
      </w:r>
      <w:proofErr w:type="gramStart"/>
      <w:r>
        <w:t>includes having</w:t>
      </w:r>
      <w:proofErr w:type="gramEnd"/>
      <w:r>
        <w:t xml:space="preserve"> consistent hardware models and firmware versions. Mixing different server hardware within the same cluster can result in inconsistent performance from host to host.</w:t>
      </w:r>
    </w:p>
    <w:p w14:paraId="7E79D3D2" w14:textId="77777777" w:rsidR="007D1654" w:rsidRDefault="007D1654" w:rsidP="007D1654">
      <w:pPr>
        <w:pStyle w:val="ListBullet"/>
      </w:pPr>
      <w:r>
        <w:t xml:space="preserve">Although you can use both Enterprise Linux host and </w:t>
      </w:r>
      <w:proofErr w:type="spellStart"/>
      <w:r>
        <w:t>oVirt</w:t>
      </w:r>
      <w:proofErr w:type="spellEnd"/>
      <w:r>
        <w:t xml:space="preserve"> Node in the same cluster, this configuration should only be used when it </w:t>
      </w:r>
      <w:proofErr w:type="gramStart"/>
      <w:r>
        <w:t>serves</w:t>
      </w:r>
      <w:proofErr w:type="gramEnd"/>
      <w:r>
        <w:t xml:space="preserve"> a specific business or technical requirement.</w:t>
      </w:r>
    </w:p>
    <w:p w14:paraId="22C015E7" w14:textId="77777777" w:rsidR="007D1654" w:rsidRDefault="007D1654" w:rsidP="007D1654">
      <w:pPr>
        <w:pStyle w:val="ListBullet"/>
      </w:pPr>
      <w:r>
        <w:t>Configure fencing devices at deployment time. Fencing devices are required for high availability.</w:t>
      </w:r>
    </w:p>
    <w:p w14:paraId="3E150713" w14:textId="77777777" w:rsidR="007D1654" w:rsidRDefault="007D1654" w:rsidP="007D1654">
      <w:pPr>
        <w:pStyle w:val="ListBullet"/>
      </w:pPr>
      <w:r>
        <w:t>Use separate hardware switches for fencing traffic. If monitoring and fencing go over the same switch, that switch becomes a single point of failure for high availability.</w:t>
      </w:r>
    </w:p>
    <w:p w14:paraId="5B0E298D" w14:textId="77777777" w:rsidR="00F27EB9" w:rsidRDefault="00F27EB9" w:rsidP="007D1654">
      <w:pPr>
        <w:pStyle w:val="ListBullet"/>
        <w:numPr>
          <w:ilvl w:val="0"/>
          <w:numId w:val="0"/>
        </w:numPr>
        <w:spacing w:after="40"/>
        <w:ind w:left="360"/>
      </w:pPr>
    </w:p>
    <w:p w14:paraId="75E1BA5F" w14:textId="77777777" w:rsidR="00A4572C" w:rsidRDefault="00A4572C" w:rsidP="007D1654">
      <w:pPr>
        <w:pStyle w:val="ListBullet"/>
        <w:numPr>
          <w:ilvl w:val="0"/>
          <w:numId w:val="0"/>
        </w:numPr>
        <w:spacing w:after="40"/>
        <w:ind w:left="360"/>
      </w:pPr>
    </w:p>
    <w:p w14:paraId="5C29649D" w14:textId="77777777" w:rsidR="00087357" w:rsidRDefault="00000000">
      <w:pPr>
        <w:pStyle w:val="Heading1"/>
      </w:pPr>
      <w:r>
        <w:t>10. Risks and implementation roadmap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71"/>
        <w:gridCol w:w="2386"/>
        <w:gridCol w:w="4191"/>
        <w:gridCol w:w="1692"/>
      </w:tblGrid>
      <w:tr w:rsidR="00087357" w14:paraId="75ADF969" w14:textId="77777777">
        <w:trPr>
          <w:jc w:val="center"/>
        </w:trPr>
        <w:tc>
          <w:tcPr>
            <w:tcW w:w="2232" w:type="dxa"/>
            <w:shd w:val="clear" w:color="auto" w:fill="12304A"/>
            <w:vAlign w:val="center"/>
          </w:tcPr>
          <w:p w14:paraId="3B05BB8B" w14:textId="77777777" w:rsidR="00087357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w="2448" w:type="dxa"/>
            <w:shd w:val="clear" w:color="auto" w:fill="12304A"/>
            <w:vAlign w:val="center"/>
          </w:tcPr>
          <w:p w14:paraId="65F89B89" w14:textId="77777777" w:rsidR="00087357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w="4320" w:type="dxa"/>
            <w:shd w:val="clear" w:color="auto" w:fill="12304A"/>
            <w:vAlign w:val="center"/>
          </w:tcPr>
          <w:p w14:paraId="0D73C105" w14:textId="77777777" w:rsidR="00087357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Mitigation</w:t>
            </w:r>
          </w:p>
        </w:tc>
        <w:tc>
          <w:tcPr>
            <w:tcW w:w="1728" w:type="dxa"/>
            <w:shd w:val="clear" w:color="auto" w:fill="12304A"/>
            <w:vAlign w:val="center"/>
          </w:tcPr>
          <w:p w14:paraId="2CC0A606" w14:textId="77777777" w:rsidR="00087357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Owner</w:t>
            </w:r>
          </w:p>
        </w:tc>
      </w:tr>
      <w:tr w:rsidR="00087357" w14:paraId="2BA30C91" w14:textId="77777777">
        <w:trPr>
          <w:jc w:val="center"/>
        </w:trPr>
        <w:tc>
          <w:tcPr>
            <w:tcW w:w="2232" w:type="dxa"/>
            <w:vAlign w:val="center"/>
          </w:tcPr>
          <w:p w14:paraId="2E462B0E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 xml:space="preserve">Unsupported OS or </w:t>
            </w:r>
            <w:proofErr w:type="spellStart"/>
            <w:r>
              <w:rPr>
                <w:sz w:val="14"/>
              </w:rPr>
              <w:t>oVirt</w:t>
            </w:r>
            <w:proofErr w:type="spellEnd"/>
            <w:r>
              <w:rPr>
                <w:sz w:val="14"/>
              </w:rPr>
              <w:t xml:space="preserve"> release</w:t>
            </w:r>
          </w:p>
        </w:tc>
        <w:tc>
          <w:tcPr>
            <w:tcW w:w="2448" w:type="dxa"/>
            <w:vAlign w:val="center"/>
          </w:tcPr>
          <w:p w14:paraId="54EE7FF1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Security fixes or compatible packages may be unavailable.</w:t>
            </w:r>
          </w:p>
        </w:tc>
        <w:tc>
          <w:tcPr>
            <w:tcW w:w="4320" w:type="dxa"/>
            <w:vAlign w:val="center"/>
          </w:tcPr>
          <w:p w14:paraId="5CAF21CE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Validate lifecycle and support matrix before deployment; plan upgrades.</w:t>
            </w:r>
          </w:p>
        </w:tc>
        <w:tc>
          <w:tcPr>
            <w:tcW w:w="1728" w:type="dxa"/>
            <w:vAlign w:val="center"/>
          </w:tcPr>
          <w:p w14:paraId="45B0D332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Platform owner</w:t>
            </w:r>
          </w:p>
        </w:tc>
      </w:tr>
      <w:tr w:rsidR="00087357" w14:paraId="3A8212FF" w14:textId="77777777">
        <w:trPr>
          <w:jc w:val="center"/>
        </w:trPr>
        <w:tc>
          <w:tcPr>
            <w:tcW w:w="2232" w:type="dxa"/>
            <w:shd w:val="clear" w:color="auto" w:fill="F2F6F8"/>
            <w:vAlign w:val="center"/>
          </w:tcPr>
          <w:p w14:paraId="2925E3A1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Unpatched vulnerability</w:t>
            </w:r>
          </w:p>
        </w:tc>
        <w:tc>
          <w:tcPr>
            <w:tcW w:w="2448" w:type="dxa"/>
            <w:shd w:val="clear" w:color="auto" w:fill="F2F6F8"/>
            <w:vAlign w:val="center"/>
          </w:tcPr>
          <w:p w14:paraId="2D9A5FDF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Potential compromise or service disruption.</w:t>
            </w:r>
          </w:p>
        </w:tc>
        <w:tc>
          <w:tcPr>
            <w:tcW w:w="4320" w:type="dxa"/>
            <w:shd w:val="clear" w:color="auto" w:fill="F2F6F8"/>
            <w:vAlign w:val="center"/>
          </w:tcPr>
          <w:p w14:paraId="165CB353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Track CVEs and errata; patch through supported procedures; test updates.</w:t>
            </w:r>
          </w:p>
        </w:tc>
        <w:tc>
          <w:tcPr>
            <w:tcW w:w="1728" w:type="dxa"/>
            <w:shd w:val="clear" w:color="auto" w:fill="F2F6F8"/>
            <w:vAlign w:val="center"/>
          </w:tcPr>
          <w:p w14:paraId="7D582B4D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Security / Linux team</w:t>
            </w:r>
          </w:p>
        </w:tc>
      </w:tr>
      <w:tr w:rsidR="00087357" w14:paraId="58157A99" w14:textId="77777777">
        <w:trPr>
          <w:jc w:val="center"/>
        </w:trPr>
        <w:tc>
          <w:tcPr>
            <w:tcW w:w="2232" w:type="dxa"/>
            <w:vAlign w:val="center"/>
          </w:tcPr>
          <w:p w14:paraId="2B1F9B60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Host failure without working fencing</w:t>
            </w:r>
          </w:p>
        </w:tc>
        <w:tc>
          <w:tcPr>
            <w:tcW w:w="2448" w:type="dxa"/>
            <w:vAlign w:val="center"/>
          </w:tcPr>
          <w:p w14:paraId="76988A70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Unsafe restarts or workload availability risk.</w:t>
            </w:r>
          </w:p>
        </w:tc>
        <w:tc>
          <w:tcPr>
            <w:tcW w:w="4320" w:type="dxa"/>
            <w:vAlign w:val="center"/>
          </w:tcPr>
          <w:p w14:paraId="5503DF5A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Configure and test fencing before production.</w:t>
            </w:r>
          </w:p>
        </w:tc>
        <w:tc>
          <w:tcPr>
            <w:tcW w:w="1728" w:type="dxa"/>
            <w:vAlign w:val="center"/>
          </w:tcPr>
          <w:p w14:paraId="109C527F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Virtualization team</w:t>
            </w:r>
          </w:p>
        </w:tc>
      </w:tr>
      <w:tr w:rsidR="00087357" w14:paraId="5265881B" w14:textId="77777777">
        <w:trPr>
          <w:jc w:val="center"/>
        </w:trPr>
        <w:tc>
          <w:tcPr>
            <w:tcW w:w="2232" w:type="dxa"/>
            <w:shd w:val="clear" w:color="auto" w:fill="F2F6F8"/>
            <w:vAlign w:val="center"/>
          </w:tcPr>
          <w:p w14:paraId="4B0D1CB8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Shared storage outage</w:t>
            </w:r>
          </w:p>
        </w:tc>
        <w:tc>
          <w:tcPr>
            <w:tcW w:w="2448" w:type="dxa"/>
            <w:shd w:val="clear" w:color="auto" w:fill="F2F6F8"/>
            <w:vAlign w:val="center"/>
          </w:tcPr>
          <w:p w14:paraId="51139037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VM I/O failure or downtime.</w:t>
            </w:r>
          </w:p>
        </w:tc>
        <w:tc>
          <w:tcPr>
            <w:tcW w:w="4320" w:type="dxa"/>
            <w:shd w:val="clear" w:color="auto" w:fill="F2F6F8"/>
            <w:vAlign w:val="center"/>
          </w:tcPr>
          <w:p w14:paraId="769071DB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Use appropriate redundancy/multipathing and test recovery.</w:t>
            </w:r>
          </w:p>
        </w:tc>
        <w:tc>
          <w:tcPr>
            <w:tcW w:w="1728" w:type="dxa"/>
            <w:shd w:val="clear" w:color="auto" w:fill="F2F6F8"/>
            <w:vAlign w:val="center"/>
          </w:tcPr>
          <w:p w14:paraId="1E6CE3A2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Storage team</w:t>
            </w:r>
          </w:p>
        </w:tc>
      </w:tr>
      <w:tr w:rsidR="00087357" w14:paraId="79070366" w14:textId="77777777">
        <w:trPr>
          <w:jc w:val="center"/>
        </w:trPr>
        <w:tc>
          <w:tcPr>
            <w:tcW w:w="2232" w:type="dxa"/>
            <w:vAlign w:val="center"/>
          </w:tcPr>
          <w:p w14:paraId="1C234DE0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Migration conversion failure</w:t>
            </w:r>
          </w:p>
        </w:tc>
        <w:tc>
          <w:tcPr>
            <w:tcW w:w="2448" w:type="dxa"/>
            <w:vAlign w:val="center"/>
          </w:tcPr>
          <w:p w14:paraId="116F4A97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Cutover delay or guest boot/application problems.</w:t>
            </w:r>
          </w:p>
        </w:tc>
        <w:tc>
          <w:tcPr>
            <w:tcW w:w="4320" w:type="dxa"/>
            <w:vAlign w:val="center"/>
          </w:tcPr>
          <w:p w14:paraId="758D4FE1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Pilot representative VMs, validate formats/drivers, retain rollback.</w:t>
            </w:r>
          </w:p>
        </w:tc>
        <w:tc>
          <w:tcPr>
            <w:tcW w:w="1728" w:type="dxa"/>
            <w:vAlign w:val="center"/>
          </w:tcPr>
          <w:p w14:paraId="493E6073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Migration lead</w:t>
            </w:r>
          </w:p>
        </w:tc>
      </w:tr>
      <w:tr w:rsidR="00087357" w14:paraId="24AA1778" w14:textId="77777777">
        <w:trPr>
          <w:jc w:val="center"/>
        </w:trPr>
        <w:tc>
          <w:tcPr>
            <w:tcW w:w="2232" w:type="dxa"/>
            <w:shd w:val="clear" w:color="auto" w:fill="F2F6F8"/>
            <w:vAlign w:val="center"/>
          </w:tcPr>
          <w:p w14:paraId="1D1A6847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Engine backup cannot restore</w:t>
            </w:r>
          </w:p>
        </w:tc>
        <w:tc>
          <w:tcPr>
            <w:tcW w:w="2448" w:type="dxa"/>
            <w:shd w:val="clear" w:color="auto" w:fill="F2F6F8"/>
            <w:vAlign w:val="center"/>
          </w:tcPr>
          <w:p w14:paraId="191F27F7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Extended management outage.</w:t>
            </w:r>
          </w:p>
        </w:tc>
        <w:tc>
          <w:tcPr>
            <w:tcW w:w="4320" w:type="dxa"/>
            <w:shd w:val="clear" w:color="auto" w:fill="F2F6F8"/>
            <w:vAlign w:val="center"/>
          </w:tcPr>
          <w:p w14:paraId="5B4CDCBC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Maintain off-host backups and test documented recovery.</w:t>
            </w:r>
          </w:p>
        </w:tc>
        <w:tc>
          <w:tcPr>
            <w:tcW w:w="1728" w:type="dxa"/>
            <w:shd w:val="clear" w:color="auto" w:fill="F2F6F8"/>
            <w:vAlign w:val="center"/>
          </w:tcPr>
          <w:p w14:paraId="2EBD065E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Platform owner</w:t>
            </w:r>
          </w:p>
        </w:tc>
      </w:tr>
      <w:tr w:rsidR="00087357" w14:paraId="4114C75E" w14:textId="77777777">
        <w:trPr>
          <w:jc w:val="center"/>
        </w:trPr>
        <w:tc>
          <w:tcPr>
            <w:tcW w:w="2232" w:type="dxa"/>
            <w:vAlign w:val="center"/>
          </w:tcPr>
          <w:p w14:paraId="2C532FD6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Insufficient capacity after failure</w:t>
            </w:r>
          </w:p>
        </w:tc>
        <w:tc>
          <w:tcPr>
            <w:tcW w:w="2448" w:type="dxa"/>
            <w:vAlign w:val="center"/>
          </w:tcPr>
          <w:p w14:paraId="0E5EE509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HA cannot restart all workloads.</w:t>
            </w:r>
          </w:p>
        </w:tc>
        <w:tc>
          <w:tcPr>
            <w:tcW w:w="4320" w:type="dxa"/>
            <w:vAlign w:val="center"/>
          </w:tcPr>
          <w:p w14:paraId="698537E6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Reserve capacity and test N+1 scenarios.</w:t>
            </w:r>
          </w:p>
        </w:tc>
        <w:tc>
          <w:tcPr>
            <w:tcW w:w="1728" w:type="dxa"/>
            <w:vAlign w:val="center"/>
          </w:tcPr>
          <w:p w14:paraId="36BE6426" w14:textId="77777777" w:rsidR="00087357" w:rsidRDefault="00000000">
            <w:pPr>
              <w:spacing w:after="0" w:line="240" w:lineRule="auto"/>
            </w:pPr>
            <w:r>
              <w:rPr>
                <w:sz w:val="14"/>
              </w:rPr>
              <w:t>Capacity owner</w:t>
            </w:r>
          </w:p>
        </w:tc>
      </w:tr>
    </w:tbl>
    <w:p w14:paraId="55313884" w14:textId="77777777" w:rsidR="00087357" w:rsidRDefault="00087357">
      <w:pPr>
        <w:spacing w:after="20"/>
      </w:pPr>
    </w:p>
    <w:p w14:paraId="5C51F1D9" w14:textId="77777777" w:rsidR="00087357" w:rsidRDefault="00000000">
      <w:pPr>
        <w:pStyle w:val="Heading2"/>
      </w:pPr>
      <w:r>
        <w:t>Phased implementation plan</w:t>
      </w:r>
    </w:p>
    <w:p w14:paraId="4EB80020" w14:textId="77777777" w:rsidR="00087357" w:rsidRDefault="00000000">
      <w:pPr>
        <w:pStyle w:val="ListNumber"/>
        <w:spacing w:after="40"/>
      </w:pPr>
      <w:r>
        <w:t>Requirements and workload inventory.</w:t>
      </w:r>
    </w:p>
    <w:p w14:paraId="03E9B3DB" w14:textId="77777777" w:rsidR="00087357" w:rsidRDefault="00000000">
      <w:pPr>
        <w:pStyle w:val="ListNumber"/>
        <w:spacing w:after="40"/>
      </w:pPr>
      <w:r>
        <w:t xml:space="preserve">Validate </w:t>
      </w:r>
      <w:proofErr w:type="spellStart"/>
      <w:r>
        <w:t>oVirt</w:t>
      </w:r>
      <w:proofErr w:type="spellEnd"/>
      <w:r>
        <w:t xml:space="preserve"> release, OS lifecycle, hardware, storage, network, and support arrangements.</w:t>
      </w:r>
    </w:p>
    <w:p w14:paraId="37A57F13" w14:textId="77777777" w:rsidR="00087357" w:rsidRDefault="00000000">
      <w:pPr>
        <w:pStyle w:val="ListNumber"/>
        <w:spacing w:after="40"/>
      </w:pPr>
      <w:r>
        <w:t>Build a lab/pilot with representative Linux and Windows guests.</w:t>
      </w:r>
    </w:p>
    <w:p w14:paraId="6308BD50" w14:textId="77777777" w:rsidR="00087357" w:rsidRDefault="00000000">
      <w:pPr>
        <w:pStyle w:val="ListNumber"/>
        <w:spacing w:after="40"/>
      </w:pPr>
      <w:r>
        <w:t>Test live migration, fencing, HA, Engine recovery, backup/restore, and storage failure scenarios.</w:t>
      </w:r>
      <w:r>
        <w:tab/>
      </w:r>
    </w:p>
    <w:p w14:paraId="615395DB" w14:textId="77777777" w:rsidR="00087357" w:rsidRDefault="00000000">
      <w:pPr>
        <w:pStyle w:val="ListNumber"/>
        <w:spacing w:after="40"/>
      </w:pPr>
      <w:r>
        <w:t>Test cross-hypervisor migration, including VMDK conversion, guest drivers, and network mapping.</w:t>
      </w:r>
    </w:p>
    <w:p w14:paraId="5EA8CCB2" w14:textId="77777777" w:rsidR="00087357" w:rsidRDefault="00000000">
      <w:pPr>
        <w:pStyle w:val="ListNumber"/>
        <w:spacing w:after="40"/>
      </w:pPr>
      <w:r>
        <w:t>Document operational procedures, monitoring, patching, rollback, and escalation.</w:t>
      </w:r>
    </w:p>
    <w:p w14:paraId="0CC1B636" w14:textId="77777777" w:rsidR="00087357" w:rsidRDefault="00000000">
      <w:pPr>
        <w:pStyle w:val="ListNumber"/>
        <w:spacing w:after="40"/>
      </w:pPr>
      <w:r>
        <w:t xml:space="preserve">Migrate production workloads </w:t>
      </w:r>
      <w:proofErr w:type="gramStart"/>
      <w:r>
        <w:t>in</w:t>
      </w:r>
      <w:proofErr w:type="gramEnd"/>
      <w:r>
        <w:t xml:space="preserve"> controlled waves and validate after each wave.</w:t>
      </w:r>
    </w:p>
    <w:p w14:paraId="704C014F" w14:textId="77777777" w:rsidR="00F27EB9" w:rsidRPr="00F27EB9" w:rsidRDefault="00F27EB9" w:rsidP="00F27EB9"/>
    <w:p w14:paraId="2D92F7C4" w14:textId="77777777" w:rsidR="00087357" w:rsidRDefault="00000000">
      <w:pPr>
        <w:pStyle w:val="Heading1"/>
      </w:pPr>
      <w:r>
        <w:t>12. References</w:t>
      </w:r>
    </w:p>
    <w:p w14:paraId="7A37E461" w14:textId="77777777" w:rsidR="00087357" w:rsidRDefault="00000000">
      <w:pPr>
        <w:spacing w:after="60"/>
      </w:pPr>
      <w:proofErr w:type="spellStart"/>
      <w:r>
        <w:rPr>
          <w:b/>
        </w:rPr>
        <w:t>oVirt</w:t>
      </w:r>
      <w:proofErr w:type="spellEnd"/>
      <w:r>
        <w:rPr>
          <w:b/>
        </w:rPr>
        <w:t xml:space="preserve"> Planning and Prerequisites Guide — Recommendations: </w:t>
      </w:r>
      <w:hyperlink r:id="rId9" w:history="1">
        <w:r>
          <w:rPr>
            <w:rStyle w:val="Hyperlink"/>
          </w:rPr>
          <w:t>https://www.ovirt.org/documentation/planning_and_prerequisites_guide/asm-Recommendations.html</w:t>
        </w:r>
      </w:hyperlink>
    </w:p>
    <w:p w14:paraId="4D4156B2" w14:textId="77777777" w:rsidR="00087357" w:rsidRDefault="00000000">
      <w:pPr>
        <w:spacing w:after="60"/>
      </w:pPr>
      <w:proofErr w:type="spellStart"/>
      <w:r>
        <w:rPr>
          <w:b/>
        </w:rPr>
        <w:t>oVirt</w:t>
      </w:r>
      <w:proofErr w:type="spellEnd"/>
      <w:r>
        <w:rPr>
          <w:b/>
        </w:rPr>
        <w:t xml:space="preserve"> download page: </w:t>
      </w:r>
      <w:hyperlink r:id="rId10" w:history="1">
        <w:r>
          <w:rPr>
            <w:rStyle w:val="Hyperlink"/>
          </w:rPr>
          <w:t>https://www.ovirt.org/download/</w:t>
        </w:r>
      </w:hyperlink>
    </w:p>
    <w:p w14:paraId="5EA7D56F" w14:textId="77777777" w:rsidR="00087357" w:rsidRDefault="00000000">
      <w:pPr>
        <w:spacing w:after="60"/>
      </w:pPr>
      <w:proofErr w:type="spellStart"/>
      <w:r>
        <w:rPr>
          <w:b/>
        </w:rPr>
        <w:t>oVirt</w:t>
      </w:r>
      <w:proofErr w:type="spellEnd"/>
      <w:r>
        <w:rPr>
          <w:b/>
        </w:rPr>
        <w:t xml:space="preserve"> Node download page: </w:t>
      </w:r>
      <w:hyperlink r:id="rId11" w:history="1">
        <w:r>
          <w:rPr>
            <w:rStyle w:val="Hyperlink"/>
          </w:rPr>
          <w:t>https://www.ovirt.org/download/node.html</w:t>
        </w:r>
      </w:hyperlink>
    </w:p>
    <w:p w14:paraId="67B3FD4E" w14:textId="77777777" w:rsidR="00087357" w:rsidRDefault="00000000">
      <w:pPr>
        <w:spacing w:after="60"/>
      </w:pPr>
      <w:proofErr w:type="spellStart"/>
      <w:r>
        <w:rPr>
          <w:b/>
        </w:rPr>
        <w:t>oVirt</w:t>
      </w:r>
      <w:proofErr w:type="spellEnd"/>
      <w:r>
        <w:rPr>
          <w:b/>
        </w:rPr>
        <w:t xml:space="preserve"> 4.5.7 release notes: </w:t>
      </w:r>
      <w:hyperlink r:id="rId12" w:history="1">
        <w:r>
          <w:rPr>
            <w:rStyle w:val="Hyperlink"/>
          </w:rPr>
          <w:t>https://www.ovirt.org/release/4.5.7/</w:t>
        </w:r>
      </w:hyperlink>
    </w:p>
    <w:p w14:paraId="7F098E72" w14:textId="77777777" w:rsidR="00087357" w:rsidRDefault="00000000">
      <w:pPr>
        <w:spacing w:after="60"/>
      </w:pPr>
      <w:proofErr w:type="spellStart"/>
      <w:r>
        <w:rPr>
          <w:b/>
        </w:rPr>
        <w:t>oVirt</w:t>
      </w:r>
      <w:proofErr w:type="spellEnd"/>
      <w:r>
        <w:rPr>
          <w:b/>
        </w:rPr>
        <w:t xml:space="preserve"> upgrade guide: </w:t>
      </w:r>
      <w:hyperlink r:id="rId13" w:history="1">
        <w:r>
          <w:rPr>
            <w:rStyle w:val="Hyperlink"/>
          </w:rPr>
          <w:t>https://www.ovirt.org/documentation/upgrade_guide/</w:t>
        </w:r>
      </w:hyperlink>
    </w:p>
    <w:p w14:paraId="2CAAA7F2" w14:textId="77777777" w:rsidR="00087357" w:rsidRDefault="00000000">
      <w:pPr>
        <w:spacing w:after="60"/>
      </w:pPr>
      <w:proofErr w:type="spellStart"/>
      <w:r>
        <w:rPr>
          <w:b/>
        </w:rPr>
        <w:t>oVirt</w:t>
      </w:r>
      <w:proofErr w:type="spellEnd"/>
      <w:r>
        <w:rPr>
          <w:b/>
        </w:rPr>
        <w:t xml:space="preserve"> self-hosted Engine installation guide: </w:t>
      </w:r>
      <w:hyperlink r:id="rId14" w:history="1">
        <w:r>
          <w:rPr>
            <w:rStyle w:val="Hyperlink"/>
          </w:rPr>
          <w:t>https://www.ovirt.org/documentation/installing_ovirt_as_a_self-hosted_engine_using_the_command_line/</w:t>
        </w:r>
      </w:hyperlink>
    </w:p>
    <w:p w14:paraId="29F9C48F" w14:textId="77777777" w:rsidR="00087357" w:rsidRDefault="00000000">
      <w:pPr>
        <w:spacing w:after="60"/>
      </w:pPr>
      <w:proofErr w:type="spellStart"/>
      <w:r>
        <w:rPr>
          <w:b/>
        </w:rPr>
        <w:lastRenderedPageBreak/>
        <w:t>oVirt</w:t>
      </w:r>
      <w:proofErr w:type="spellEnd"/>
      <w:r>
        <w:rPr>
          <w:b/>
        </w:rPr>
        <w:t xml:space="preserve"> lifecycle listing: </w:t>
      </w:r>
      <w:hyperlink r:id="rId15" w:history="1">
        <w:r>
          <w:rPr>
            <w:rStyle w:val="Hyperlink"/>
          </w:rPr>
          <w:t>https://endoflife.date/ovirt</w:t>
        </w:r>
      </w:hyperlink>
    </w:p>
    <w:p w14:paraId="6DF66D06" w14:textId="77777777" w:rsidR="00087357" w:rsidRDefault="00000000">
      <w:pPr>
        <w:spacing w:after="60"/>
      </w:pPr>
      <w:r>
        <w:rPr>
          <w:b/>
        </w:rPr>
        <w:t xml:space="preserve">CentOS Stream lifecycle: </w:t>
      </w:r>
      <w:hyperlink r:id="rId16" w:history="1">
        <w:r>
          <w:rPr>
            <w:rStyle w:val="Hyperlink"/>
          </w:rPr>
          <w:t>https://endoflife.date/centos-stream</w:t>
        </w:r>
      </w:hyperlink>
    </w:p>
    <w:p w14:paraId="21C17F89" w14:textId="77777777" w:rsidR="00087357" w:rsidRDefault="00000000">
      <w:pPr>
        <w:spacing w:after="60"/>
      </w:pPr>
      <w:r>
        <w:rPr>
          <w:b/>
        </w:rPr>
        <w:t xml:space="preserve">CentOS Stream vs CentOS Linux: </w:t>
      </w:r>
      <w:hyperlink r:id="rId17" w:history="1">
        <w:r>
          <w:rPr>
            <w:rStyle w:val="Hyperlink"/>
          </w:rPr>
          <w:t>https://www.centos.org/cl-vs-cs/</w:t>
        </w:r>
      </w:hyperlink>
      <w:r>
        <w:t xml:space="preserve"> </w:t>
      </w:r>
    </w:p>
    <w:p w14:paraId="17466418" w14:textId="77777777" w:rsidR="00087357" w:rsidRDefault="00000000">
      <w:pPr>
        <w:spacing w:after="60"/>
      </w:pPr>
      <w:proofErr w:type="spellStart"/>
      <w:r>
        <w:rPr>
          <w:b/>
        </w:rPr>
        <w:t>Proxmox</w:t>
      </w:r>
      <w:proofErr w:type="spellEnd"/>
      <w:r>
        <w:rPr>
          <w:b/>
        </w:rPr>
        <w:t xml:space="preserve"> VE subscription pricing: </w:t>
      </w:r>
      <w:hyperlink r:id="rId18" w:history="1">
        <w:r>
          <w:rPr>
            <w:rStyle w:val="Hyperlink"/>
          </w:rPr>
          <w:t>https://www.proxmox.com/en/products/proxmox-virtual-environment/pricing</w:t>
        </w:r>
      </w:hyperlink>
    </w:p>
    <w:p w14:paraId="027A9E7A" w14:textId="77777777" w:rsidR="00087357" w:rsidRDefault="00000000">
      <w:pPr>
        <w:spacing w:after="60"/>
      </w:pPr>
      <w:r>
        <w:rPr>
          <w:b/>
        </w:rPr>
        <w:t xml:space="preserve">HPE VM Essentials </w:t>
      </w:r>
      <w:proofErr w:type="spellStart"/>
      <w:r>
        <w:rPr>
          <w:b/>
        </w:rPr>
        <w:t>QuickSpecs</w:t>
      </w:r>
      <w:proofErr w:type="spellEnd"/>
      <w:r>
        <w:rPr>
          <w:b/>
        </w:rPr>
        <w:t xml:space="preserve">: </w:t>
      </w:r>
      <w:hyperlink r:id="rId19" w:history="1">
        <w:r>
          <w:rPr>
            <w:rStyle w:val="Hyperlink"/>
          </w:rPr>
          <w:t>https://www.hpe.com/psnow/downloadDoc/HPE%20Morpheus%20VM%20Essentials%20Software%20QuickSpecs-a50004260enw.pdf</w:t>
        </w:r>
      </w:hyperlink>
    </w:p>
    <w:p w14:paraId="351E52D0" w14:textId="77777777" w:rsidR="00087357" w:rsidRDefault="00000000">
      <w:pPr>
        <w:spacing w:after="60"/>
      </w:pPr>
      <w:r>
        <w:rPr>
          <w:b/>
        </w:rPr>
        <w:t xml:space="preserve">VMware vSphere product comparison: </w:t>
      </w:r>
      <w:hyperlink r:id="rId20" w:history="1">
        <w:r>
          <w:rPr>
            <w:rStyle w:val="Hyperlink"/>
          </w:rPr>
          <w:t>https://www.vmware.com/content/dam/digitalmarketing/vmware/en/pdf/docs/vmw-datasheet-vsphere-product-line-comparison.pdf</w:t>
        </w:r>
      </w:hyperlink>
    </w:p>
    <w:p w14:paraId="675BBAA6" w14:textId="77777777" w:rsidR="00087357" w:rsidRDefault="00000000">
      <w:pPr>
        <w:spacing w:after="60"/>
      </w:pPr>
      <w:r>
        <w:rPr>
          <w:b/>
        </w:rPr>
        <w:t xml:space="preserve">NIST National Vulnerability Database: </w:t>
      </w:r>
      <w:hyperlink r:id="rId21" w:history="1">
        <w:r>
          <w:rPr>
            <w:rStyle w:val="Hyperlink"/>
          </w:rPr>
          <w:t>https://nvd.nist.gov/</w:t>
        </w:r>
      </w:hyperlink>
    </w:p>
    <w:p w14:paraId="45144EEB" w14:textId="77777777" w:rsidR="00087357" w:rsidRDefault="00000000">
      <w:pPr>
        <w:spacing w:after="60"/>
      </w:pPr>
      <w:r>
        <w:rPr>
          <w:b/>
        </w:rPr>
        <w:t xml:space="preserve">CVE Program: </w:t>
      </w:r>
      <w:hyperlink r:id="rId22" w:history="1">
        <w:r>
          <w:rPr>
            <w:rStyle w:val="Hyperlink"/>
          </w:rPr>
          <w:t>https://www.cve.org/</w:t>
        </w:r>
      </w:hyperlink>
    </w:p>
    <w:p w14:paraId="37245454" w14:textId="77777777" w:rsidR="00087357" w:rsidRDefault="00000000">
      <w:r>
        <w:t>Access date for this compiled document: 27 October 2026. Confirm the latest release notes, support matrices, lifecycle dates, CVEs, and subscription terms before relying on them for procurement or production deployment.</w:t>
      </w:r>
    </w:p>
    <w:sectPr w:rsidR="00087357">
      <w:headerReference w:type="default" r:id="rId23"/>
      <w:footerReference w:type="default" r:id="rId2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9C5D5" w14:textId="77777777" w:rsidR="00BF2A52" w:rsidRDefault="00BF2A52">
      <w:pPr>
        <w:spacing w:line="240" w:lineRule="auto"/>
      </w:pPr>
      <w:r>
        <w:separator/>
      </w:r>
    </w:p>
  </w:endnote>
  <w:endnote w:type="continuationSeparator" w:id="0">
    <w:p w14:paraId="00ACD67A" w14:textId="77777777" w:rsidR="00BF2A52" w:rsidRDefault="00BF2A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B7EEE" w14:textId="77777777" w:rsidR="00087357" w:rsidRDefault="00000000">
    <w:pPr>
      <w:pStyle w:val="Footer"/>
      <w:jc w:val="center"/>
    </w:pPr>
    <w:r>
      <w:rPr>
        <w:sz w:val="16"/>
      </w:rPr>
      <w:t>Technical assessment • Prepared from supplied notes • 27 October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7A2D5" w14:textId="77777777" w:rsidR="00BF2A52" w:rsidRDefault="00BF2A52">
      <w:pPr>
        <w:spacing w:after="0"/>
      </w:pPr>
      <w:r>
        <w:separator/>
      </w:r>
    </w:p>
  </w:footnote>
  <w:footnote w:type="continuationSeparator" w:id="0">
    <w:p w14:paraId="159EEE9E" w14:textId="77777777" w:rsidR="00BF2A52" w:rsidRDefault="00BF2A5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1244F" w14:textId="27ACF874" w:rsidR="00087357" w:rsidRDefault="00000000">
    <w:pPr>
      <w:pStyle w:val="Caption"/>
      <w:jc w:val="right"/>
    </w:pPr>
    <w:proofErr w:type="spellStart"/>
    <w:r>
      <w:t>oVirt</w:t>
    </w:r>
    <w:proofErr w:type="spellEnd"/>
    <w:r>
      <w:t xml:space="preserve"> Virtualization Platform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D702FC3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9FD1CBF"/>
    <w:multiLevelType w:val="multilevel"/>
    <w:tmpl w:val="EAF2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32D15"/>
    <w:multiLevelType w:val="multilevel"/>
    <w:tmpl w:val="73B0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267B1E"/>
    <w:multiLevelType w:val="multilevel"/>
    <w:tmpl w:val="E2D0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014922">
    <w:abstractNumId w:val="5"/>
  </w:num>
  <w:num w:numId="2" w16cid:durableId="14550595">
    <w:abstractNumId w:val="3"/>
  </w:num>
  <w:num w:numId="3" w16cid:durableId="1253513246">
    <w:abstractNumId w:val="2"/>
  </w:num>
  <w:num w:numId="4" w16cid:durableId="2032488138">
    <w:abstractNumId w:val="4"/>
  </w:num>
  <w:num w:numId="5" w16cid:durableId="592277680">
    <w:abstractNumId w:val="1"/>
  </w:num>
  <w:num w:numId="6" w16cid:durableId="1933733937">
    <w:abstractNumId w:val="0"/>
  </w:num>
  <w:num w:numId="7" w16cid:durableId="1996756909">
    <w:abstractNumId w:val="8"/>
  </w:num>
  <w:num w:numId="8" w16cid:durableId="266816373">
    <w:abstractNumId w:val="6"/>
  </w:num>
  <w:num w:numId="9" w16cid:durableId="6304001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18D"/>
    <w:rsid w:val="0006063C"/>
    <w:rsid w:val="00060A39"/>
    <w:rsid w:val="00082CB1"/>
    <w:rsid w:val="00087357"/>
    <w:rsid w:val="0015074B"/>
    <w:rsid w:val="0029639D"/>
    <w:rsid w:val="00326F90"/>
    <w:rsid w:val="00757377"/>
    <w:rsid w:val="0079663D"/>
    <w:rsid w:val="007D1654"/>
    <w:rsid w:val="00A4572C"/>
    <w:rsid w:val="00AA1D8D"/>
    <w:rsid w:val="00B47730"/>
    <w:rsid w:val="00BF2A52"/>
    <w:rsid w:val="00CB0664"/>
    <w:rsid w:val="00F27EB9"/>
    <w:rsid w:val="00FC693F"/>
    <w:rsid w:val="4F6F2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54CB57"/>
  <w14:defaultImageDpi w14:val="300"/>
  <w15:docId w15:val="{26CFACED-CDF4-4DC3-A50A-804798E0E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 w:qFormat="1"/>
    <w:lsdException w:name="Medium Shading 1 Accent 4" w:uiPriority="63" w:qFormat="1"/>
    <w:lsdException w:name="Medium Shading 2 Accent 4" w:uiPriority="64"/>
    <w:lsdException w:name="Medium List 1 Accent 4" w:uiPriority="65" w:qFormat="1"/>
    <w:lsdException w:name="Medium List 2 Accent 4" w:uiPriority="66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76" w:lineRule="auto"/>
    </w:pPr>
    <w:rPr>
      <w:rFonts w:ascii="Aptos" w:eastAsiaTheme="minorEastAsia" w:hAnsi="Aptos" w:cstheme="minorBidi"/>
      <w:sz w:val="19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0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6B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6B8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304A"/>
      <w:spacing w:val="5"/>
      <w:kern w:val="28"/>
      <w:sz w:val="54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F27E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F27E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ovirt.org/documentation/upgrade_guide/" TargetMode="External"/><Relationship Id="rId18" Type="http://schemas.openxmlformats.org/officeDocument/2006/relationships/hyperlink" Target="https://www.proxmox.com/en/products/proxmox-virtual-environment/pricing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nvd.nist.gov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ovirt.org/release/4.5.7/" TargetMode="External"/><Relationship Id="rId17" Type="http://schemas.openxmlformats.org/officeDocument/2006/relationships/hyperlink" Target="https://www.centos.org/cl-vs-cs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endoflife.date/centos-stream" TargetMode="External"/><Relationship Id="rId20" Type="http://schemas.openxmlformats.org/officeDocument/2006/relationships/hyperlink" Target="https://www.vmware.com/content/dam/digitalmarketing/vmware/en/pdf/docs/vmw-datasheet-vsphere-product-line-comparison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ovirt.org/download/node.html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endoflife.date/ovirt" TargetMode="External"/><Relationship Id="rId23" Type="http://schemas.openxmlformats.org/officeDocument/2006/relationships/header" Target="header1.xml"/><Relationship Id="rId10" Type="http://schemas.openxmlformats.org/officeDocument/2006/relationships/hyperlink" Target="https://www.ovirt.org/download/" TargetMode="External"/><Relationship Id="rId19" Type="http://schemas.openxmlformats.org/officeDocument/2006/relationships/hyperlink" Target="https://www.hpe.com/psnow/downloadDoc/HPE%20Morpheus%20VM%20Essentials%20Software%20QuickSpecs-a50004260enw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ovirt.org/documentation/planning_and_prerequisites_guide/asm-Recommendations.html" TargetMode="External"/><Relationship Id="rId14" Type="http://schemas.openxmlformats.org/officeDocument/2006/relationships/hyperlink" Target="https://www.ovirt.org/documentation/installing_ovirt_as_a_self-hosted_engine_using_the_command_line/" TargetMode="External"/><Relationship Id="rId22" Type="http://schemas.openxmlformats.org/officeDocument/2006/relationships/hyperlink" Target="https://www.cv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10</Pages>
  <Words>3495</Words>
  <Characters>19928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Yogesh Gawade</cp:lastModifiedBy>
  <cp:revision>4</cp:revision>
  <dcterms:created xsi:type="dcterms:W3CDTF">2013-12-23T23:15:00Z</dcterms:created>
  <dcterms:modified xsi:type="dcterms:W3CDTF">2026-10-27T11:00:00Z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eyJoZGlkIjoiODM3ZjA3ZjdkZDM2MTRmODE5MTQwMWRhZTI3Y2EyZmYifQ==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41C2D9EAA9B84CAB9E944701AAA6C01F_12</vt:lpwstr>
  </property>
</Properties>
</file>