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7171" w:rsidRPr="00577171" w:rsidRDefault="00577171" w:rsidP="005771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577171">
        <w:rPr>
          <w:rFonts w:ascii="Times New Roman" w:eastAsia="Times New Roman" w:hAnsi="Symbol" w:cs="Times New Roman"/>
          <w:kern w:val="0"/>
          <w:sz w:val="24"/>
          <w:szCs w:val="24"/>
          <w:lang w:eastAsia="en-AU"/>
          <w14:ligatures w14:val="none"/>
        </w:rPr>
        <w:t></w:t>
      </w:r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ReLU</w:t>
      </w:r>
      <w:proofErr w:type="spellEnd"/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reformulations are compared in energy aggregator bidding optimisation. </w:t>
      </w:r>
    </w:p>
    <w:p w:rsidR="00577171" w:rsidRPr="00577171" w:rsidRDefault="00577171" w:rsidP="005771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577171">
        <w:rPr>
          <w:rFonts w:ascii="Times New Roman" w:eastAsia="Times New Roman" w:hAnsi="Symbol" w:cs="Times New Roman"/>
          <w:kern w:val="0"/>
          <w:sz w:val="24"/>
          <w:szCs w:val="24"/>
          <w:lang w:eastAsia="en-AU"/>
          <w14:ligatures w14:val="none"/>
        </w:rPr>
        <w:t></w:t>
      </w:r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ICNN enables exact LP embedding under objective-alignment conditions. </w:t>
      </w:r>
    </w:p>
    <w:p w:rsidR="00577171" w:rsidRPr="00577171" w:rsidRDefault="00577171" w:rsidP="005771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577171">
        <w:rPr>
          <w:rFonts w:ascii="Times New Roman" w:eastAsia="Times New Roman" w:hAnsi="Symbol" w:cs="Times New Roman"/>
          <w:kern w:val="0"/>
          <w:sz w:val="24"/>
          <w:szCs w:val="24"/>
          <w:lang w:eastAsia="en-AU"/>
          <w14:ligatures w14:val="none"/>
        </w:rPr>
        <w:t></w:t>
      </w:r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Predictive accuracy alone does not determine optimisation performance. </w:t>
      </w:r>
    </w:p>
    <w:p w:rsidR="00577171" w:rsidRPr="00577171" w:rsidRDefault="00577171" w:rsidP="005771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577171">
        <w:rPr>
          <w:rFonts w:ascii="Times New Roman" w:eastAsia="Times New Roman" w:hAnsi="Symbol" w:cs="Times New Roman"/>
          <w:kern w:val="0"/>
          <w:sz w:val="24"/>
          <w:szCs w:val="24"/>
          <w:lang w:eastAsia="en-AU"/>
          <w14:ligatures w14:val="none"/>
        </w:rPr>
        <w:t></w:t>
      </w:r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Penalty-based LP relaxations are sensitive to penalty selection. </w:t>
      </w:r>
    </w:p>
    <w:p w:rsidR="00F75A98" w:rsidRDefault="00577171" w:rsidP="00577171">
      <w:r w:rsidRPr="00577171">
        <w:rPr>
          <w:rFonts w:ascii="Times New Roman" w:eastAsia="Times New Roman" w:hAnsi="Symbol" w:cs="Times New Roman"/>
          <w:kern w:val="0"/>
          <w:sz w:val="24"/>
          <w:szCs w:val="24"/>
          <w:lang w:eastAsia="en-AU"/>
          <w14:ligatures w14:val="none"/>
        </w:rPr>
        <w:t></w:t>
      </w:r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bookmarkStart w:id="0" w:name="_GoBack"/>
      <w:bookmarkEnd w:id="0"/>
      <w:r w:rsidRPr="0057717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MIP embeddings face scalability limits as neural networks grow.</w:t>
      </w:r>
    </w:p>
    <w:sectPr w:rsidR="00F7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71"/>
    <w:rsid w:val="000116FC"/>
    <w:rsid w:val="00262FF2"/>
    <w:rsid w:val="0042245C"/>
    <w:rsid w:val="004D7B8B"/>
    <w:rsid w:val="00577171"/>
    <w:rsid w:val="005C3E46"/>
    <w:rsid w:val="006C00E5"/>
    <w:rsid w:val="00A77151"/>
    <w:rsid w:val="00C03EF0"/>
    <w:rsid w:val="00C57294"/>
    <w:rsid w:val="00D57F22"/>
    <w:rsid w:val="00F7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5852"/>
  <w15:chartTrackingRefBased/>
  <w15:docId w15:val="{EB142371-D6F6-4860-8B5A-7AB12D6D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4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Pipada Sunil Kumar</dc:creator>
  <cp:keywords/>
  <dc:description/>
  <cp:lastModifiedBy>Yogesh Pipada Sunil Kumar</cp:lastModifiedBy>
  <cp:revision>2</cp:revision>
  <dcterms:created xsi:type="dcterms:W3CDTF">2026-08-17T19:29:00Z</dcterms:created>
  <dcterms:modified xsi:type="dcterms:W3CDTF">2026-08-17T19:30:00Z</dcterms:modified>
</cp:coreProperties>
</file>