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99980" w14:textId="43F80780" w:rsidR="00EC4FC7" w:rsidRPr="00CE3416" w:rsidRDefault="00245BA8">
      <w:pPr>
        <w:rPr>
          <w:b/>
          <w:bCs/>
          <w:sz w:val="24"/>
          <w:szCs w:val="24"/>
        </w:rPr>
      </w:pPr>
      <w:r w:rsidRPr="00CE3416">
        <w:rPr>
          <w:b/>
          <w:bCs/>
          <w:sz w:val="24"/>
          <w:szCs w:val="24"/>
        </w:rPr>
        <w:t>Interpreting Confidence interval and Confidence level</w:t>
      </w:r>
    </w:p>
    <w:p w14:paraId="1D44845B" w14:textId="47C37798" w:rsidR="00E7548F" w:rsidRPr="00CE3416" w:rsidRDefault="00E7548F">
      <w:pPr>
        <w:rPr>
          <w:sz w:val="24"/>
          <w:szCs w:val="24"/>
        </w:rPr>
      </w:pPr>
      <w:r w:rsidRPr="00CE3416">
        <w:rPr>
          <w:sz w:val="24"/>
          <w:szCs w:val="24"/>
        </w:rPr>
        <w:t>The </w:t>
      </w:r>
      <w:r w:rsidRPr="00CE3416">
        <w:rPr>
          <w:b/>
          <w:bCs/>
          <w:sz w:val="24"/>
          <w:szCs w:val="24"/>
        </w:rPr>
        <w:t>confidence interval </w:t>
      </w:r>
      <w:r w:rsidRPr="00CE3416">
        <w:rPr>
          <w:sz w:val="24"/>
          <w:szCs w:val="24"/>
        </w:rPr>
        <w:t>is the plus-or-minus figure usually reported in newspaper or television opinion poll results. For example, if you use a confidence interval of 4 and 47% percent of your sample picks an answer you can be “sure” that if you had asked the question of the entire relevant population between 43% (47-4) and 51% (47+4) would have picked that answer</w:t>
      </w:r>
    </w:p>
    <w:p w14:paraId="30CFF084" w14:textId="3E31BB88" w:rsidR="006E232A" w:rsidRPr="00CE3416" w:rsidRDefault="006E232A">
      <w:pPr>
        <w:rPr>
          <w:rFonts w:ascii="Arial" w:hAnsi="Arial" w:cs="Arial"/>
          <w:color w:val="333333"/>
          <w:sz w:val="24"/>
          <w:szCs w:val="24"/>
          <w:shd w:val="clear" w:color="auto" w:fill="FFFFFF"/>
        </w:rPr>
      </w:pPr>
      <w:r w:rsidRPr="00CE3416">
        <w:rPr>
          <w:sz w:val="24"/>
          <w:szCs w:val="24"/>
        </w:rPr>
        <w:t>The </w:t>
      </w:r>
      <w:r w:rsidRPr="00CE3416">
        <w:rPr>
          <w:b/>
          <w:bCs/>
          <w:sz w:val="24"/>
          <w:szCs w:val="24"/>
        </w:rPr>
        <w:t>confidence level</w:t>
      </w:r>
      <w:r w:rsidRPr="00CE3416">
        <w:rPr>
          <w:sz w:val="24"/>
          <w:szCs w:val="24"/>
        </w:rPr>
        <w:t> tells you how sure you can b</w:t>
      </w:r>
      <w:bookmarkStart w:id="0" w:name="_GoBack"/>
      <w:bookmarkEnd w:id="0"/>
      <w:r w:rsidRPr="00CE3416">
        <w:rPr>
          <w:sz w:val="24"/>
          <w:szCs w:val="24"/>
        </w:rPr>
        <w:t>e. It is expressed as a percentage</w:t>
      </w:r>
      <w:r w:rsidRPr="00CE3416">
        <w:rPr>
          <w:rFonts w:ascii="Arial" w:hAnsi="Arial" w:cs="Arial"/>
          <w:color w:val="333333"/>
          <w:sz w:val="24"/>
          <w:szCs w:val="24"/>
          <w:shd w:val="clear" w:color="auto" w:fill="FFFFFF"/>
        </w:rPr>
        <w:t xml:space="preserve"> </w:t>
      </w:r>
      <w:r w:rsidRPr="00CE3416">
        <w:rPr>
          <w:sz w:val="24"/>
          <w:szCs w:val="24"/>
        </w:rPr>
        <w:t>represents how often the true percentage of the population who would pick an answer lies within the confidence interval. The 95% confidence level means you can be 95% certain; the 99% confidence level means you can be 99% certain. Most researchers use the 95% confidence leve</w:t>
      </w:r>
      <w:r w:rsidRPr="00CE3416">
        <w:rPr>
          <w:rFonts w:ascii="Arial" w:hAnsi="Arial" w:cs="Arial"/>
          <w:color w:val="333333"/>
          <w:sz w:val="24"/>
          <w:szCs w:val="24"/>
          <w:shd w:val="clear" w:color="auto" w:fill="FFFFFF"/>
        </w:rPr>
        <w:t>l.</w:t>
      </w:r>
    </w:p>
    <w:p w14:paraId="0AAF7824" w14:textId="77777777" w:rsidR="006E232A" w:rsidRPr="006E232A" w:rsidRDefault="006E232A" w:rsidP="006E232A">
      <w:pPr>
        <w:shd w:val="clear" w:color="auto" w:fill="FFFFFF"/>
        <w:spacing w:after="150" w:line="240" w:lineRule="auto"/>
        <w:rPr>
          <w:sz w:val="24"/>
          <w:szCs w:val="24"/>
        </w:rPr>
      </w:pPr>
      <w:r w:rsidRPr="006E232A">
        <w:rPr>
          <w:sz w:val="24"/>
          <w:szCs w:val="24"/>
        </w:rPr>
        <w:t>When you put the confidence level and the confidence interval together, you can say that you are 95% sure that the true percentage of the population is between 43% and 51%.</w:t>
      </w:r>
    </w:p>
    <w:p w14:paraId="08A0A40B" w14:textId="77777777" w:rsidR="006E232A" w:rsidRPr="006E232A" w:rsidRDefault="006E232A" w:rsidP="006E232A">
      <w:pPr>
        <w:shd w:val="clear" w:color="auto" w:fill="FFFFFF"/>
        <w:spacing w:after="150" w:line="240" w:lineRule="auto"/>
        <w:rPr>
          <w:sz w:val="24"/>
          <w:szCs w:val="24"/>
        </w:rPr>
      </w:pPr>
      <w:r w:rsidRPr="006E232A">
        <w:rPr>
          <w:sz w:val="24"/>
          <w:szCs w:val="24"/>
        </w:rPr>
        <w:t>The wider the confidence interval you are willing to accept, the more certain you can be that the whole population answers would be within that range. For example, if you asked a sample of 1000 people in a city which brand of cola they preferred, and 60% said Brand A, you can be very certain that between 40 and 80% of all the people in the city actually do prefer that brand, but you cannot be so sure that between 59 and 61% of the people in the city prefer the brand.</w:t>
      </w:r>
    </w:p>
    <w:p w14:paraId="15C1FEDC" w14:textId="77777777" w:rsidR="006E232A" w:rsidRPr="006E232A" w:rsidRDefault="006E232A" w:rsidP="006E232A">
      <w:pPr>
        <w:shd w:val="clear" w:color="auto" w:fill="FFFFFF"/>
        <w:spacing w:after="150" w:line="240" w:lineRule="auto"/>
        <w:rPr>
          <w:sz w:val="24"/>
          <w:szCs w:val="24"/>
        </w:rPr>
      </w:pPr>
      <w:r w:rsidRPr="006E232A">
        <w:rPr>
          <w:sz w:val="24"/>
          <w:szCs w:val="24"/>
        </w:rPr>
        <w:t>Factors that Affect Confidence Intervals</w:t>
      </w:r>
      <w:r w:rsidRPr="006E232A">
        <w:rPr>
          <w:sz w:val="24"/>
          <w:szCs w:val="24"/>
        </w:rPr>
        <w:br/>
        <w:t>There are three factors that determine the size of the confidence interval for a given confidence level. These are: sample size, percentage and population size.</w:t>
      </w:r>
    </w:p>
    <w:p w14:paraId="4E5AEEA0" w14:textId="77777777" w:rsidR="006E232A" w:rsidRPr="006E232A" w:rsidRDefault="006E232A" w:rsidP="006E232A">
      <w:pPr>
        <w:shd w:val="clear" w:color="auto" w:fill="FFFFFF"/>
        <w:spacing w:after="150" w:line="240" w:lineRule="auto"/>
        <w:rPr>
          <w:sz w:val="24"/>
          <w:szCs w:val="24"/>
        </w:rPr>
      </w:pPr>
      <w:r w:rsidRPr="006E232A">
        <w:rPr>
          <w:b/>
          <w:bCs/>
          <w:sz w:val="24"/>
          <w:szCs w:val="24"/>
        </w:rPr>
        <w:t>Sample Size</w:t>
      </w:r>
      <w:r w:rsidRPr="006E232A">
        <w:rPr>
          <w:sz w:val="24"/>
          <w:szCs w:val="24"/>
        </w:rPr>
        <w:br/>
        <w:t xml:space="preserve">The larger your sample, the </w:t>
      </w:r>
      <w:proofErr w:type="gramStart"/>
      <w:r w:rsidRPr="006E232A">
        <w:rPr>
          <w:sz w:val="24"/>
          <w:szCs w:val="24"/>
        </w:rPr>
        <w:t>more sure</w:t>
      </w:r>
      <w:proofErr w:type="gramEnd"/>
      <w:r w:rsidRPr="006E232A">
        <w:rPr>
          <w:sz w:val="24"/>
          <w:szCs w:val="24"/>
        </w:rPr>
        <w:t xml:space="preserve"> you can be that their answers truly reflect the population. This indicates that for a given confidence level, the larger your sample size, the smaller your confidence interval. However, the relationship is not linear (i.e., doubling the sample size does not halve the confidence interval).</w:t>
      </w:r>
    </w:p>
    <w:p w14:paraId="11814C84" w14:textId="77777777" w:rsidR="006E232A" w:rsidRPr="006E232A" w:rsidRDefault="006E232A" w:rsidP="006E232A">
      <w:pPr>
        <w:shd w:val="clear" w:color="auto" w:fill="FFFFFF"/>
        <w:spacing w:after="150" w:line="240" w:lineRule="auto"/>
        <w:rPr>
          <w:sz w:val="24"/>
          <w:szCs w:val="24"/>
        </w:rPr>
      </w:pPr>
      <w:r w:rsidRPr="006E232A">
        <w:rPr>
          <w:b/>
          <w:bCs/>
          <w:sz w:val="24"/>
          <w:szCs w:val="24"/>
        </w:rPr>
        <w:t>Percentage</w:t>
      </w:r>
      <w:r w:rsidRPr="006E232A">
        <w:rPr>
          <w:sz w:val="24"/>
          <w:szCs w:val="24"/>
        </w:rPr>
        <w:br/>
        <w:t>Your accuracy also depends on the percentage of your sample that picks a particular answer. If 99% of your sample said “Yes” and 1% said “No” the chances of error are remote, irrespective of sample size. However, if the percentages are 51% and 49% the chances of error are much greater. It is easier to be sure of extreme answers than of middle-of-the-road ones.</w:t>
      </w:r>
    </w:p>
    <w:p w14:paraId="28611602" w14:textId="77777777" w:rsidR="006E232A" w:rsidRPr="006E232A" w:rsidRDefault="006E232A" w:rsidP="006E232A">
      <w:pPr>
        <w:shd w:val="clear" w:color="auto" w:fill="FFFFFF"/>
        <w:spacing w:after="150" w:line="240" w:lineRule="auto"/>
        <w:rPr>
          <w:sz w:val="24"/>
          <w:szCs w:val="24"/>
        </w:rPr>
      </w:pPr>
      <w:r w:rsidRPr="006E232A">
        <w:rPr>
          <w:sz w:val="24"/>
          <w:szCs w:val="24"/>
        </w:rPr>
        <w:t xml:space="preserve">When determining the sample size needed for a given level of accuracy you must use the </w:t>
      </w:r>
      <w:proofErr w:type="gramStart"/>
      <w:r w:rsidRPr="006E232A">
        <w:rPr>
          <w:sz w:val="24"/>
          <w:szCs w:val="24"/>
        </w:rPr>
        <w:t>worst case</w:t>
      </w:r>
      <w:proofErr w:type="gramEnd"/>
      <w:r w:rsidRPr="006E232A">
        <w:rPr>
          <w:sz w:val="24"/>
          <w:szCs w:val="24"/>
        </w:rPr>
        <w:t xml:space="preserve"> percentage (50%). You should also use this percentage if you want to determine a general level of accuracy for a sample you already have. To determine the confidence interval for a specific answer your sample has given, you can use the percentage picking that answer and get a smaller interval.</w:t>
      </w:r>
    </w:p>
    <w:p w14:paraId="2F960B17" w14:textId="77777777" w:rsidR="006E232A" w:rsidRPr="006E232A" w:rsidRDefault="006E232A" w:rsidP="006E232A">
      <w:pPr>
        <w:shd w:val="clear" w:color="auto" w:fill="FFFFFF"/>
        <w:spacing w:after="150" w:line="240" w:lineRule="auto"/>
        <w:rPr>
          <w:sz w:val="24"/>
          <w:szCs w:val="24"/>
        </w:rPr>
      </w:pPr>
      <w:r w:rsidRPr="006E232A">
        <w:rPr>
          <w:b/>
          <w:bCs/>
          <w:sz w:val="24"/>
          <w:szCs w:val="24"/>
        </w:rPr>
        <w:t>Population Size</w:t>
      </w:r>
      <w:r w:rsidRPr="006E232A">
        <w:rPr>
          <w:sz w:val="24"/>
          <w:szCs w:val="24"/>
        </w:rPr>
        <w:br/>
        <w:t xml:space="preserve">How many people are there in the group your sample represents? This may be the number of people in a city you are studying, the number of people who buy new cars, etc. Often you may not know the exact population size. This is not a problem. The mathematics of </w:t>
      </w:r>
      <w:r w:rsidRPr="006E232A">
        <w:rPr>
          <w:sz w:val="24"/>
          <w:szCs w:val="24"/>
        </w:rPr>
        <w:lastRenderedPageBreak/>
        <w:t>probability proves the size of the population is irrelevant, unless the size of the sample exceeds a few percent of the total population you are examining. This means that a sample of 500 people is equally useful in examining the opinions of a state of 15,000,000 as it would a city of 100,000. For this reason, the </w:t>
      </w:r>
      <w:hyperlink r:id="rId5" w:history="1">
        <w:r w:rsidRPr="006E232A">
          <w:rPr>
            <w:sz w:val="24"/>
            <w:szCs w:val="24"/>
          </w:rPr>
          <w:t>sample calculator</w:t>
        </w:r>
      </w:hyperlink>
      <w:r w:rsidRPr="006E232A">
        <w:rPr>
          <w:sz w:val="24"/>
          <w:szCs w:val="24"/>
        </w:rPr>
        <w:t xml:space="preserve"> ignores the population size when it is “large” or unknown. Population size is only likely to be a factor when you work with a relatively small and known group of </w:t>
      </w:r>
      <w:proofErr w:type="gramStart"/>
      <w:r w:rsidRPr="006E232A">
        <w:rPr>
          <w:sz w:val="24"/>
          <w:szCs w:val="24"/>
        </w:rPr>
        <w:t>people .</w:t>
      </w:r>
      <w:proofErr w:type="gramEnd"/>
    </w:p>
    <w:p w14:paraId="3F5FAAD2" w14:textId="77777777" w:rsidR="00D81158" w:rsidRPr="00CE3416" w:rsidRDefault="00D81158" w:rsidP="00245BA8">
      <w:pPr>
        <w:shd w:val="clear" w:color="auto" w:fill="FFFFFF"/>
        <w:spacing w:line="450" w:lineRule="atLeast"/>
        <w:textAlignment w:val="baseline"/>
        <w:rPr>
          <w:rFonts w:ascii="inherit" w:eastAsia="Times New Roman" w:hAnsi="inherit" w:cs="Helvetica"/>
          <w:color w:val="21242C"/>
          <w:sz w:val="24"/>
          <w:szCs w:val="24"/>
          <w:lang w:eastAsia="en-IN"/>
        </w:rPr>
      </w:pPr>
    </w:p>
    <w:p w14:paraId="5C2CBF3E" w14:textId="77777777" w:rsidR="00245BA8" w:rsidRPr="00CE3416" w:rsidRDefault="00245BA8">
      <w:pPr>
        <w:rPr>
          <w:sz w:val="24"/>
          <w:szCs w:val="24"/>
        </w:rPr>
      </w:pPr>
    </w:p>
    <w:sectPr w:rsidR="00245BA8" w:rsidRPr="00CE3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41902"/>
    <w:multiLevelType w:val="multilevel"/>
    <w:tmpl w:val="24AA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9B1F2C"/>
    <w:multiLevelType w:val="multilevel"/>
    <w:tmpl w:val="233A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A8"/>
    <w:rsid w:val="00245BA8"/>
    <w:rsid w:val="006E232A"/>
    <w:rsid w:val="008B0CC9"/>
    <w:rsid w:val="00CE3416"/>
    <w:rsid w:val="00D81158"/>
    <w:rsid w:val="00E7548F"/>
    <w:rsid w:val="00EC4FC7"/>
    <w:rsid w:val="00FF3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A196"/>
  <w15:chartTrackingRefBased/>
  <w15:docId w15:val="{6A0DA074-D3EC-457E-814A-069EAF67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5B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next w:val="Normal"/>
    <w:link w:val="Heading6Char"/>
    <w:uiPriority w:val="9"/>
    <w:semiHidden/>
    <w:unhideWhenUsed/>
    <w:qFormat/>
    <w:rsid w:val="00D8115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B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45BA8"/>
    <w:rPr>
      <w:i/>
      <w:iCs/>
    </w:rPr>
  </w:style>
  <w:style w:type="character" w:customStyle="1" w:styleId="Heading2Char">
    <w:name w:val="Heading 2 Char"/>
    <w:basedOn w:val="DefaultParagraphFont"/>
    <w:link w:val="Heading2"/>
    <w:uiPriority w:val="9"/>
    <w:rsid w:val="00245BA8"/>
    <w:rPr>
      <w:rFonts w:ascii="Times New Roman" w:eastAsia="Times New Roman" w:hAnsi="Times New Roman" w:cs="Times New Roman"/>
      <w:b/>
      <w:bCs/>
      <w:sz w:val="36"/>
      <w:szCs w:val="36"/>
      <w:lang w:eastAsia="en-IN"/>
    </w:rPr>
  </w:style>
  <w:style w:type="character" w:customStyle="1" w:styleId="katex-mathml">
    <w:name w:val="katex-mathml"/>
    <w:basedOn w:val="DefaultParagraphFont"/>
    <w:rsid w:val="00245BA8"/>
  </w:style>
  <w:style w:type="character" w:customStyle="1" w:styleId="mord">
    <w:name w:val="mord"/>
    <w:basedOn w:val="DefaultParagraphFont"/>
    <w:rsid w:val="00245BA8"/>
  </w:style>
  <w:style w:type="character" w:styleId="Strong">
    <w:name w:val="Strong"/>
    <w:basedOn w:val="DefaultParagraphFont"/>
    <w:uiPriority w:val="22"/>
    <w:qFormat/>
    <w:rsid w:val="00245BA8"/>
    <w:rPr>
      <w:b/>
      <w:bCs/>
    </w:rPr>
  </w:style>
  <w:style w:type="character" w:customStyle="1" w:styleId="Heading6Char">
    <w:name w:val="Heading 6 Char"/>
    <w:basedOn w:val="DefaultParagraphFont"/>
    <w:link w:val="Heading6"/>
    <w:uiPriority w:val="9"/>
    <w:semiHidden/>
    <w:rsid w:val="00D81158"/>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D811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021077">
      <w:bodyDiv w:val="1"/>
      <w:marLeft w:val="0"/>
      <w:marRight w:val="0"/>
      <w:marTop w:val="0"/>
      <w:marBottom w:val="0"/>
      <w:divBdr>
        <w:top w:val="none" w:sz="0" w:space="0" w:color="auto"/>
        <w:left w:val="none" w:sz="0" w:space="0" w:color="auto"/>
        <w:bottom w:val="none" w:sz="0" w:space="0" w:color="auto"/>
        <w:right w:val="none" w:sz="0" w:space="0" w:color="auto"/>
      </w:divBdr>
      <w:divsChild>
        <w:div w:id="261686159">
          <w:marLeft w:val="0"/>
          <w:marRight w:val="0"/>
          <w:marTop w:val="0"/>
          <w:marBottom w:val="0"/>
          <w:divBdr>
            <w:top w:val="none" w:sz="0" w:space="0" w:color="auto"/>
            <w:left w:val="none" w:sz="0" w:space="0" w:color="auto"/>
            <w:bottom w:val="none" w:sz="0" w:space="0" w:color="auto"/>
            <w:right w:val="none" w:sz="0" w:space="0" w:color="auto"/>
          </w:divBdr>
          <w:divsChild>
            <w:div w:id="1797484592">
              <w:marLeft w:val="0"/>
              <w:marRight w:val="0"/>
              <w:marTop w:val="0"/>
              <w:marBottom w:val="0"/>
              <w:divBdr>
                <w:top w:val="none" w:sz="0" w:space="0" w:color="auto"/>
                <w:left w:val="none" w:sz="0" w:space="0" w:color="auto"/>
                <w:bottom w:val="none" w:sz="0" w:space="0" w:color="auto"/>
                <w:right w:val="none" w:sz="0" w:space="0" w:color="auto"/>
              </w:divBdr>
              <w:divsChild>
                <w:div w:id="225846230">
                  <w:marLeft w:val="0"/>
                  <w:marRight w:val="0"/>
                  <w:marTop w:val="0"/>
                  <w:marBottom w:val="0"/>
                  <w:divBdr>
                    <w:top w:val="none" w:sz="0" w:space="0" w:color="auto"/>
                    <w:left w:val="none" w:sz="0" w:space="0" w:color="auto"/>
                    <w:bottom w:val="none" w:sz="0" w:space="0" w:color="auto"/>
                    <w:right w:val="none" w:sz="0" w:space="0" w:color="auto"/>
                  </w:divBdr>
                  <w:divsChild>
                    <w:div w:id="19845815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66736660">
          <w:marLeft w:val="0"/>
          <w:marRight w:val="0"/>
          <w:marTop w:val="0"/>
          <w:marBottom w:val="0"/>
          <w:divBdr>
            <w:top w:val="none" w:sz="0" w:space="0" w:color="auto"/>
            <w:left w:val="none" w:sz="0" w:space="0" w:color="auto"/>
            <w:bottom w:val="none" w:sz="0" w:space="0" w:color="auto"/>
            <w:right w:val="none" w:sz="0" w:space="0" w:color="auto"/>
          </w:divBdr>
          <w:divsChild>
            <w:div w:id="683097430">
              <w:marLeft w:val="0"/>
              <w:marRight w:val="0"/>
              <w:marTop w:val="0"/>
              <w:marBottom w:val="0"/>
              <w:divBdr>
                <w:top w:val="none" w:sz="0" w:space="0" w:color="auto"/>
                <w:left w:val="none" w:sz="0" w:space="0" w:color="auto"/>
                <w:bottom w:val="none" w:sz="0" w:space="0" w:color="auto"/>
                <w:right w:val="none" w:sz="0" w:space="0" w:color="auto"/>
              </w:divBdr>
              <w:divsChild>
                <w:div w:id="335767923">
                  <w:marLeft w:val="0"/>
                  <w:marRight w:val="0"/>
                  <w:marTop w:val="0"/>
                  <w:marBottom w:val="0"/>
                  <w:divBdr>
                    <w:top w:val="none" w:sz="0" w:space="0" w:color="auto"/>
                    <w:left w:val="none" w:sz="0" w:space="0" w:color="auto"/>
                    <w:bottom w:val="none" w:sz="0" w:space="0" w:color="auto"/>
                    <w:right w:val="none" w:sz="0" w:space="0" w:color="auto"/>
                  </w:divBdr>
                </w:div>
                <w:div w:id="1556237666">
                  <w:marLeft w:val="0"/>
                  <w:marRight w:val="0"/>
                  <w:marTop w:val="0"/>
                  <w:marBottom w:val="0"/>
                  <w:divBdr>
                    <w:top w:val="none" w:sz="0" w:space="0" w:color="auto"/>
                    <w:left w:val="none" w:sz="0" w:space="0" w:color="auto"/>
                    <w:bottom w:val="none" w:sz="0" w:space="0" w:color="auto"/>
                    <w:right w:val="none" w:sz="0" w:space="0" w:color="auto"/>
                  </w:divBdr>
                  <w:divsChild>
                    <w:div w:id="424765313">
                      <w:marLeft w:val="0"/>
                      <w:marRight w:val="0"/>
                      <w:marTop w:val="0"/>
                      <w:marBottom w:val="480"/>
                      <w:divBdr>
                        <w:top w:val="none" w:sz="0" w:space="0" w:color="auto"/>
                        <w:left w:val="none" w:sz="0" w:space="0" w:color="auto"/>
                        <w:bottom w:val="none" w:sz="0" w:space="0" w:color="auto"/>
                        <w:right w:val="none" w:sz="0" w:space="0" w:color="auto"/>
                      </w:divBdr>
                    </w:div>
                  </w:divsChild>
                </w:div>
                <w:div w:id="87048291">
                  <w:marLeft w:val="0"/>
                  <w:marRight w:val="0"/>
                  <w:marTop w:val="0"/>
                  <w:marBottom w:val="0"/>
                  <w:divBdr>
                    <w:top w:val="none" w:sz="0" w:space="0" w:color="auto"/>
                    <w:left w:val="none" w:sz="0" w:space="0" w:color="auto"/>
                    <w:bottom w:val="none" w:sz="0" w:space="0" w:color="auto"/>
                    <w:right w:val="none" w:sz="0" w:space="0" w:color="auto"/>
                  </w:divBdr>
                  <w:divsChild>
                    <w:div w:id="1251112435">
                      <w:marLeft w:val="0"/>
                      <w:marRight w:val="0"/>
                      <w:marTop w:val="0"/>
                      <w:marBottom w:val="480"/>
                      <w:divBdr>
                        <w:top w:val="none" w:sz="0" w:space="0" w:color="auto"/>
                        <w:left w:val="none" w:sz="0" w:space="0" w:color="auto"/>
                        <w:bottom w:val="none" w:sz="0" w:space="0" w:color="auto"/>
                        <w:right w:val="none" w:sz="0" w:space="0" w:color="auto"/>
                      </w:divBdr>
                      <w:divsChild>
                        <w:div w:id="1249266268">
                          <w:marLeft w:val="0"/>
                          <w:marRight w:val="0"/>
                          <w:marTop w:val="0"/>
                          <w:marBottom w:val="0"/>
                          <w:divBdr>
                            <w:top w:val="none" w:sz="0" w:space="0" w:color="auto"/>
                            <w:left w:val="none" w:sz="0" w:space="0" w:color="auto"/>
                            <w:bottom w:val="none" w:sz="0" w:space="0" w:color="auto"/>
                            <w:right w:val="none" w:sz="0" w:space="0" w:color="auto"/>
                          </w:divBdr>
                          <w:divsChild>
                            <w:div w:id="370693535">
                              <w:marLeft w:val="45"/>
                              <w:marRight w:val="0"/>
                              <w:marTop w:val="0"/>
                              <w:marBottom w:val="0"/>
                              <w:divBdr>
                                <w:top w:val="none" w:sz="0" w:space="0" w:color="auto"/>
                                <w:left w:val="none" w:sz="0" w:space="0" w:color="auto"/>
                                <w:bottom w:val="none" w:sz="0" w:space="0" w:color="auto"/>
                                <w:right w:val="none" w:sz="0" w:space="0" w:color="auto"/>
                              </w:divBdr>
                              <w:divsChild>
                                <w:div w:id="1517307976">
                                  <w:marLeft w:val="0"/>
                                  <w:marRight w:val="0"/>
                                  <w:marTop w:val="0"/>
                                  <w:marBottom w:val="0"/>
                                  <w:divBdr>
                                    <w:top w:val="none" w:sz="0" w:space="0" w:color="auto"/>
                                    <w:left w:val="none" w:sz="0" w:space="0" w:color="auto"/>
                                    <w:bottom w:val="none" w:sz="0" w:space="0" w:color="auto"/>
                                    <w:right w:val="none" w:sz="0" w:space="0" w:color="auto"/>
                                  </w:divBdr>
                                  <w:divsChild>
                                    <w:div w:id="1921718273">
                                      <w:marLeft w:val="0"/>
                                      <w:marRight w:val="0"/>
                                      <w:marTop w:val="0"/>
                                      <w:marBottom w:val="480"/>
                                      <w:divBdr>
                                        <w:top w:val="none" w:sz="0" w:space="0" w:color="auto"/>
                                        <w:left w:val="none" w:sz="0" w:space="0" w:color="auto"/>
                                        <w:bottom w:val="none" w:sz="0" w:space="0" w:color="auto"/>
                                        <w:right w:val="none" w:sz="0" w:space="0" w:color="auto"/>
                                      </w:divBdr>
                                      <w:divsChild>
                                        <w:div w:id="128623547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218373">
      <w:bodyDiv w:val="1"/>
      <w:marLeft w:val="0"/>
      <w:marRight w:val="0"/>
      <w:marTop w:val="0"/>
      <w:marBottom w:val="0"/>
      <w:divBdr>
        <w:top w:val="none" w:sz="0" w:space="0" w:color="auto"/>
        <w:left w:val="none" w:sz="0" w:space="0" w:color="auto"/>
        <w:bottom w:val="none" w:sz="0" w:space="0" w:color="auto"/>
        <w:right w:val="none" w:sz="0" w:space="0" w:color="auto"/>
      </w:divBdr>
      <w:divsChild>
        <w:div w:id="458651005">
          <w:marLeft w:val="0"/>
          <w:marRight w:val="0"/>
          <w:marTop w:val="0"/>
          <w:marBottom w:val="300"/>
          <w:divBdr>
            <w:top w:val="single" w:sz="6" w:space="7" w:color="E3E3E3"/>
            <w:left w:val="single" w:sz="6" w:space="7" w:color="E3E3E3"/>
            <w:bottom w:val="single" w:sz="6" w:space="7" w:color="E3E3E3"/>
            <w:right w:val="single" w:sz="6" w:space="7" w:color="E3E3E3"/>
          </w:divBdr>
        </w:div>
        <w:div w:id="1839032644">
          <w:blockQuote w:val="1"/>
          <w:marLeft w:val="0"/>
          <w:marRight w:val="0"/>
          <w:marTop w:val="0"/>
          <w:marBottom w:val="330"/>
          <w:divBdr>
            <w:top w:val="none" w:sz="0" w:space="0" w:color="auto"/>
            <w:left w:val="single" w:sz="36" w:space="17" w:color="EEEEEE"/>
            <w:bottom w:val="none" w:sz="0" w:space="0" w:color="auto"/>
            <w:right w:val="none" w:sz="0" w:space="0" w:color="auto"/>
          </w:divBdr>
        </w:div>
        <w:div w:id="1194923586">
          <w:blockQuote w:val="1"/>
          <w:marLeft w:val="0"/>
          <w:marRight w:val="0"/>
          <w:marTop w:val="0"/>
          <w:marBottom w:val="330"/>
          <w:divBdr>
            <w:top w:val="none" w:sz="0" w:space="0" w:color="auto"/>
            <w:left w:val="single" w:sz="36" w:space="17" w:color="EEEEEE"/>
            <w:bottom w:val="none" w:sz="0" w:space="0" w:color="auto"/>
            <w:right w:val="none" w:sz="0" w:space="0" w:color="auto"/>
          </w:divBdr>
        </w:div>
        <w:div w:id="19547771">
          <w:marLeft w:val="0"/>
          <w:marRight w:val="0"/>
          <w:marTop w:val="0"/>
          <w:marBottom w:val="300"/>
          <w:divBdr>
            <w:top w:val="single" w:sz="6" w:space="7" w:color="E3E3E3"/>
            <w:left w:val="single" w:sz="6" w:space="7" w:color="E3E3E3"/>
            <w:bottom w:val="single" w:sz="6" w:space="7" w:color="E3E3E3"/>
            <w:right w:val="single" w:sz="6" w:space="7" w:color="E3E3E3"/>
          </w:divBdr>
        </w:div>
        <w:div w:id="62338107">
          <w:marLeft w:val="0"/>
          <w:marRight w:val="0"/>
          <w:marTop w:val="0"/>
          <w:marBottom w:val="300"/>
          <w:divBdr>
            <w:top w:val="single" w:sz="6" w:space="7" w:color="E3E3E3"/>
            <w:left w:val="single" w:sz="6" w:space="7" w:color="E3E3E3"/>
            <w:bottom w:val="single" w:sz="6" w:space="7" w:color="E3E3E3"/>
            <w:right w:val="single" w:sz="6" w:space="7" w:color="E3E3E3"/>
          </w:divBdr>
        </w:div>
      </w:divsChild>
    </w:div>
    <w:div w:id="1543635817">
      <w:bodyDiv w:val="1"/>
      <w:marLeft w:val="0"/>
      <w:marRight w:val="0"/>
      <w:marTop w:val="0"/>
      <w:marBottom w:val="0"/>
      <w:divBdr>
        <w:top w:val="none" w:sz="0" w:space="0" w:color="auto"/>
        <w:left w:val="none" w:sz="0" w:space="0" w:color="auto"/>
        <w:bottom w:val="none" w:sz="0" w:space="0" w:color="auto"/>
        <w:right w:val="none" w:sz="0" w:space="0" w:color="auto"/>
      </w:divBdr>
      <w:divsChild>
        <w:div w:id="636036335">
          <w:marLeft w:val="0"/>
          <w:marRight w:val="0"/>
          <w:marTop w:val="0"/>
          <w:marBottom w:val="0"/>
          <w:divBdr>
            <w:top w:val="none" w:sz="0" w:space="0" w:color="auto"/>
            <w:left w:val="none" w:sz="0" w:space="0" w:color="auto"/>
            <w:bottom w:val="none" w:sz="0" w:space="0" w:color="auto"/>
            <w:right w:val="none" w:sz="0" w:space="0" w:color="auto"/>
          </w:divBdr>
          <w:divsChild>
            <w:div w:id="1527717471">
              <w:marLeft w:val="0"/>
              <w:marRight w:val="0"/>
              <w:marTop w:val="0"/>
              <w:marBottom w:val="480"/>
              <w:divBdr>
                <w:top w:val="none" w:sz="0" w:space="0" w:color="auto"/>
                <w:left w:val="none" w:sz="0" w:space="0" w:color="auto"/>
                <w:bottom w:val="none" w:sz="0" w:space="0" w:color="auto"/>
                <w:right w:val="none" w:sz="0" w:space="0" w:color="auto"/>
              </w:divBdr>
            </w:div>
          </w:divsChild>
        </w:div>
        <w:div w:id="188491024">
          <w:marLeft w:val="0"/>
          <w:marRight w:val="0"/>
          <w:marTop w:val="0"/>
          <w:marBottom w:val="0"/>
          <w:divBdr>
            <w:top w:val="none" w:sz="0" w:space="0" w:color="auto"/>
            <w:left w:val="none" w:sz="0" w:space="0" w:color="auto"/>
            <w:bottom w:val="none" w:sz="0" w:space="0" w:color="auto"/>
            <w:right w:val="none" w:sz="0" w:space="0" w:color="auto"/>
          </w:divBdr>
          <w:divsChild>
            <w:div w:id="1781222489">
              <w:marLeft w:val="0"/>
              <w:marRight w:val="0"/>
              <w:marTop w:val="0"/>
              <w:marBottom w:val="480"/>
              <w:divBdr>
                <w:top w:val="none" w:sz="0" w:space="0" w:color="auto"/>
                <w:left w:val="none" w:sz="0" w:space="0" w:color="auto"/>
                <w:bottom w:val="none" w:sz="0" w:space="0" w:color="auto"/>
                <w:right w:val="none" w:sz="0" w:space="0" w:color="auto"/>
              </w:divBdr>
            </w:div>
          </w:divsChild>
        </w:div>
        <w:div w:id="1844583235">
          <w:marLeft w:val="0"/>
          <w:marRight w:val="0"/>
          <w:marTop w:val="0"/>
          <w:marBottom w:val="0"/>
          <w:divBdr>
            <w:top w:val="none" w:sz="0" w:space="0" w:color="auto"/>
            <w:left w:val="none" w:sz="0" w:space="0" w:color="auto"/>
            <w:bottom w:val="none" w:sz="0" w:space="0" w:color="auto"/>
            <w:right w:val="none" w:sz="0" w:space="0" w:color="auto"/>
          </w:divBdr>
          <w:divsChild>
            <w:div w:id="17917009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07551029">
      <w:bodyDiv w:val="1"/>
      <w:marLeft w:val="0"/>
      <w:marRight w:val="0"/>
      <w:marTop w:val="0"/>
      <w:marBottom w:val="0"/>
      <w:divBdr>
        <w:top w:val="none" w:sz="0" w:space="0" w:color="auto"/>
        <w:left w:val="none" w:sz="0" w:space="0" w:color="auto"/>
        <w:bottom w:val="none" w:sz="0" w:space="0" w:color="auto"/>
        <w:right w:val="none" w:sz="0" w:space="0" w:color="auto"/>
      </w:divBdr>
    </w:div>
    <w:div w:id="183626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urveysystem.com/sscalc.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Subramanian</dc:creator>
  <cp:keywords/>
  <dc:description/>
  <cp:lastModifiedBy>Yogesh Subramanian</cp:lastModifiedBy>
  <cp:revision>3</cp:revision>
  <dcterms:created xsi:type="dcterms:W3CDTF">2020-03-13T05:00:00Z</dcterms:created>
  <dcterms:modified xsi:type="dcterms:W3CDTF">2020-03-13T15:31:00Z</dcterms:modified>
</cp:coreProperties>
</file>