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CTQ ENTERPRISE</w:t>
      </w:r>
    </w:p>
    <w:p>
      <w:pPr>
        <w:spacing w:after="240"/>
      </w:pPr>
      <w:r>
        <w:rPr>
          <w:color w:val="0B5394"/>
          <w:sz w:val="28"/>
          <w:szCs w:val="28"/>
        </w:rPr>
        <w:t xml:space="preserve">Market-Release Gap Analysis &amp; Readiness Roadmap</w:t>
      </w:r>
    </w:p>
    <w:p>
      <w:pPr>
        <w:spacing w:after="160" w:line="276"/>
      </w:pPr>
      <w:r>
        <w:rPr>
          <w:b/>
          <w:bCs/>
        </w:rPr>
        <w:t xml:space="preserve">Prepared for: </w:t>
      </w:r>
      <w:r>
        <w:t xml:space="preserve">Yogesh Kumar</w:t>
      </w:r>
    </w:p>
    <w:p>
      <w:pPr>
        <w:spacing w:after="160" w:line="276"/>
      </w:pPr>
      <w:r>
        <w:rPr>
          <w:b/>
          <w:bCs/>
        </w:rPr>
        <w:t xml:space="preserve">Product reviewed: </w:t>
      </w:r>
      <w:r>
        <w:t xml:space="preserve">YK CTQ Audit Intelligence Platform, v4.0.5 (Enterprise Edition)</w:t>
      </w:r>
    </w:p>
    <w:p>
      <w:pPr>
        <w:spacing w:after="160" w:line="276"/>
      </w:pPr>
      <w:r>
        <w:rPr>
          <w:b/>
          <w:bCs/>
        </w:rPr>
        <w:t xml:space="preserve">Target: </w:t>
      </w:r>
      <w:r>
        <w:t xml:space="preserve">Open-market release to Enterprise IT / Service Desk teams (B2B, on-prem)</w:t>
      </w:r>
    </w:p>
    <w:p>
      <w:pPr>
        <w:spacing w:after="160" w:line="276"/>
      </w:pPr>
      <w:r>
        <w:rPr>
          <w:b/>
          <w:bCs/>
        </w:rPr>
        <w:t xml:space="preserve">Review date: </w:t>
      </w:r>
      <w:r>
        <w:t xml:space="preserve">14 August 2026</w:t>
      </w:r>
    </w:p>
    <w:p>
      <w:pPr>
        <w:pBdr>
          <w:bottom w:val="single" w:color="CCCCCC" w:sz="6" w:space="1"/>
        </w:pBdr>
        <w:spacing w:after="200"/>
      </w:pPr>
    </w:p>
    <w:p>
      <w:pPr>
        <w:pStyle w:val="Heading1"/>
        <w:spacing w:after="200" w:before="400"/>
      </w:pPr>
      <w:r>
        <w:t xml:space="preserve">Executive Summary</w:t>
      </w:r>
    </w:p>
    <w:p>
      <w:pPr>
        <w:spacing w:after="160" w:line="276"/>
      </w:pPr>
      <w:r>
        <w:t xml:space="preserve">CTQ Enterprise (the YK CTQ Audit Intelligence Platform) is a mature, well-documented, single-tenant Flask + vanilla-JS tool that scores ServiceNow ITSM tickets against a 42-criterion quality framework. The core domain logic is genuinely strong — dual-engine scoring, SQLite persistence with safe migrations, daily rotating logs, a live log viewer, and a CI/pre-commit pipeline covering linting, secret-scanning and dependency auditing. This is meaningfully more engineering discipline than most tools of this size have.</w:t>
      </w:r>
    </w:p>
    <w:p>
      <w:pPr>
        <w:spacing w:after="160" w:line="276"/>
      </w:pPr>
      <w:r>
        <w:t xml:space="preserve">It is not yet ready to sell into the open market. The most severe finding in this review — not previously flagged in the project's own May 2026 review — is that the REST API enforces no authentication on any business route: the login screen only gates the browser UI, and every data endpoint is reachable directly over the network without a session. Beyond that, the CI pipeline's workflow file is malformed and may not be fully running; the only scoring-related test exercises a stub rather than the real engine; there is no LLM connectivity of any kind despite it being a named requirement; there is no one-click installation path; and no minimum system requirements, performance SLA, or accessibility baseline has ever been published.</w:t>
      </w:r>
    </w:p>
    <w:p>
      <w:pPr>
        <w:spacing w:after="160" w:line="276"/>
      </w:pPr>
      <w:r>
        <w:t xml:space="preserve">None of this requires a rewrite. It requires roughly 4–8 weeks of focused hardening — security first, then packaging and market-facing polish — before this should be shown to a paying customer. The detailed gap analysis, prioritized roadmap, and a release-readiness checklist follow.</w:t>
      </w:r>
    </w:p>
    <w:p>
      <w:pPr>
        <w:pStyle w:val="Heading1"/>
        <w:spacing w:after="200" w:before="400"/>
      </w:pPr>
      <w:r>
        <w:t xml:space="preserve">Scope &amp; Methodology</w:t>
      </w:r>
    </w:p>
    <w:p>
      <w:pPr>
        <w:spacing w:after="160" w:line="276"/>
      </w:pPr>
      <w:r>
        <w:t xml:space="preserve">This review examined the CTQ-Enterprise codebase directly: server.py (backend, 1,688 lines), the full js/ and css/ frontend, index.html, the CI workflow, pre-commit configuration, dependency manifests, the existing pip-audit report, all project documentation (README, CHANGELOG, SECURITY.md, docs/APPROACH.md, docs/V4_DESIGN.md, docs/SSO.md), the test suite, and the project's own prior internal review (PROJECT_REVIEW.md, dated 8 May 2026). Findings below are evidence-based — each is traceable to a specific file — rather than generic best-practice advice. Assumptions made to complete this review, based on your answers: distribution model to be recommended (leaning Docker + native installer) given an on-prem Enterprise IT/Service Desk buyer; LLM connectivity should be optional and cloud-capable but governed (opt-in, redacted, audited); and the compliance bar for this phase is GDPR/data-protection hygiene plus general security best practice, not a formal SOC 2/ISO 27001 certification.</w:t>
      </w:r>
    </w:p>
    <w:p>
      <w:pPr>
        <w:pStyle w:val="Heading1"/>
        <w:spacing w:after="200" w:before="400"/>
      </w:pPr>
      <w:r>
        <w:t xml:space="preserve">Gap Analysis Against Release Criteria</w:t>
      </w:r>
    </w:p>
    <w:p>
      <w:pPr>
        <w:spacing w:after="160" w:line="276"/>
      </w:pPr>
      <w:r>
        <w:t xml:space="preserve">Each of the ten criteria you set for open-market release is assessed below against current, verified codebase state.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900"/>
        <w:gridCol w:w="2600"/>
      </w:tblGrid>
      <w:tr>
        <w:trPr>
          <w:tblHeader/>
        </w:trPr>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Criterion</w:t>
            </w:r>
          </w:p>
        </w:tc>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Current State</w:t>
            </w:r>
          </w:p>
        </w:tc>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Gap</w:t>
            </w:r>
          </w:p>
        </w:tc>
        <w:tc>
          <w:tcPr>
            <w:tcW w:type="dxa" w:w="900"/>
            <w:shd w:fill="1F3864" w:val="clear"/>
            <w:tcMar>
              <w:top w:type="dxa" w:w="80"/>
              <w:left w:type="dxa" w:w="100"/>
              <w:bottom w:type="dxa" w:w="80"/>
              <w:right w:type="dxa" w:w="100"/>
            </w:tcMar>
            <w:vAlign w:val="center"/>
          </w:tcPr>
          <w:p>
            <w:pPr>
              <w:jc w:val="left"/>
            </w:pPr>
            <w:r>
              <w:rPr>
                <w:b/>
                <w:bCs/>
                <w:color w:val="FFFFFF"/>
                <w:sz w:val="19"/>
                <w:szCs w:val="19"/>
              </w:rPr>
              <w:t xml:space="preserve">Severity</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Recommendation</w:t>
            </w:r>
          </w:p>
        </w:tc>
      </w:tr>
      <w:tr>
        <w:trPr>
          <w:cantSplit/>
        </w:trPr>
        <w:tc>
          <w:tcPr>
            <w:tcW w:type="dxa" w:w="1500"/>
            <w:tcMar>
              <w:top w:type="dxa" w:w="80"/>
              <w:left w:type="dxa" w:w="100"/>
              <w:bottom w:type="dxa" w:w="80"/>
              <w:right w:type="dxa" w:w="100"/>
            </w:tcMar>
            <w:vAlign w:val="center"/>
          </w:tcPr>
          <w:p>
            <w:pPr>
              <w:jc w:val="left"/>
            </w:pPr>
            <w:r>
              <w:rPr>
                <w:b/>
                <w:bCs/>
                <w:color w:val="000000"/>
                <w:sz w:val="19"/>
                <w:szCs w:val="19"/>
              </w:rPr>
              <w:t xml:space="preserve">1. Modern, world-class UI</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Hand-written vanilla JS single-page app (app.js ~2,900 lines / 105KB). Dark/light theme added in v4.0.1. Emoji glyphs (🌙 🤖 📋) used as nav icons. Inline styles mixed into index.html (e.g. Export modal). No component framework or design-token system beyond CSS variables.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No accessibility markup found (no ARIA roles/labels, no skip link). Mobile responsiveness unverified — PROJECT_REVIEW.md flagged this in May and it is still unresolved. Emoji icons render inconsistently across OS/browsers and are unreadable to screen readers.</w:t>
            </w:r>
          </w:p>
        </w:tc>
        <w:tc>
          <w:tcPr>
            <w:tcW w:type="dxa" w:w="900"/>
            <w:tcMar>
              <w:top w:type="dxa" w:w="80"/>
              <w:left w:type="dxa" w:w="100"/>
              <w:bottom w:type="dxa" w:w="80"/>
              <w:right w:type="dxa" w:w="100"/>
            </w:tcMar>
            <w:vAlign w:val="center"/>
          </w:tcPr>
          <w:p>
            <w:pPr>
              <w:jc w:val="left"/>
            </w:pPr>
            <w:r>
              <w:rPr>
                <w:b/>
                <w:bCs/>
                <w:color w:val="D9822B"/>
                <w:sz w:val="19"/>
                <w:szCs w:val="19"/>
              </w:rPr>
              <w:t xml:space="preserve">High</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Run a WCAG 2.1 AA audit (axe-core) and fix findings. Replace emoji nav icons with a real SVG icon set. Extract inline styles into components.css. Componentize incrementally (Alpine.js/Lit, or React if resourced) behind the existing REST API. Do a real mobile/responsive pass with device testing.</w:t>
            </w:r>
          </w:p>
        </w:tc>
      </w:tr>
      <w:tr>
        <w:trPr>
          <w:cantSplit/>
        </w:trPr>
        <w:tc>
          <w:tcPr>
            <w:tcW w:type="dxa" w:w="1500"/>
            <w:shd w:fill="EEF3F8" w:val="clear"/>
            <w:tcMar>
              <w:top w:type="dxa" w:w="80"/>
              <w:left w:type="dxa" w:w="100"/>
              <w:bottom w:type="dxa" w:w="80"/>
              <w:right w:type="dxa" w:w="100"/>
            </w:tcMar>
            <w:vAlign w:val="center"/>
          </w:tcPr>
          <w:p>
            <w:pPr>
              <w:jc w:val="left"/>
            </w:pPr>
            <w:r>
              <w:rPr>
                <w:b/>
                <w:bCs/>
                <w:color w:val="000000"/>
                <w:sz w:val="19"/>
                <w:szCs w:val="19"/>
              </w:rPr>
              <w:t xml:space="preserve">2. Performance</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No benchmarks exist anywhere in the repo. README/PROJECT_REVIEW state a target of '5K tickets in &lt;30s' but there is no evidence it was measured. Plotly (~3MB) loads from a CDN unminified; xlsx.full.min.js is 881KB. SQLite is single-writer.</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Zero measured performance SLA; no load testing; no frontend bundling/minification/lazy-loading pipeline; CDN fetch also breaks the 'fully offline' claim (README already flags this as a known exception).</w:t>
            </w:r>
          </w:p>
        </w:tc>
        <w:tc>
          <w:tcPr>
            <w:tcW w:type="dxa" w:w="900"/>
            <w:shd w:fill="EEF3F8" w:val="clear"/>
            <w:tcMar>
              <w:top w:type="dxa" w:w="80"/>
              <w:left w:type="dxa" w:w="100"/>
              <w:bottom w:type="dxa" w:w="80"/>
              <w:right w:type="dxa" w:w="100"/>
            </w:tcMar>
            <w:vAlign w:val="center"/>
          </w:tcPr>
          <w:p>
            <w:pPr>
              <w:jc w:val="left"/>
            </w:pPr>
            <w:r>
              <w:rPr>
                <w:b/>
                <w:bCs/>
                <w:color w:val="B7950B"/>
                <w:sz w:val="19"/>
                <w:szCs w:val="19"/>
              </w:rPr>
              <w:t xml:space="preserve">Medium-High</w:t>
            </w:r>
          </w:p>
        </w:tc>
        <w:tc>
          <w:tcPr>
            <w:tcW w:type="dxa" w:w="26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Publish and measure explicit perf SLAs (batch-scoring time on defined hardware, dashboard first paint). Add pytest-benchmark for PyCTQEngine and Lighthouse CI for the frontend. Self-host Plotly. Bundle/minify JS via a real build step (see item 5).</w:t>
            </w:r>
          </w:p>
        </w:tc>
      </w:tr>
      <w:tr>
        <w:trPr>
          <w:cantSplit/>
        </w:trPr>
        <w:tc>
          <w:tcPr>
            <w:tcW w:type="dxa" w:w="1500"/>
            <w:tcMar>
              <w:top w:type="dxa" w:w="80"/>
              <w:left w:type="dxa" w:w="100"/>
              <w:bottom w:type="dxa" w:w="80"/>
              <w:right w:type="dxa" w:w="100"/>
            </w:tcMar>
            <w:vAlign w:val="center"/>
          </w:tcPr>
          <w:p>
            <w:pPr>
              <w:jc w:val="left"/>
            </w:pPr>
            <w:r>
              <w:rPr>
                <w:b/>
                <w:bCs/>
                <w:color w:val="000000"/>
                <w:sz w:val="19"/>
                <w:szCs w:val="19"/>
              </w:rPr>
              <w:t xml:space="preserve">3. Minimum system requirements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README lists only 'Python 3.10+' and 'a modern browser.' No CPU/RAM/disk/OS matrix, no supported-browser version matrix for the app as a whole, no documented concurrent-user ceiling (though SQLite's single-writer design implies a real one).</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Procurement teams evaluating the product for purchase cannot answer 'will this run in our environment' without asking directly — a sales-cycle blocker for a commercial product.</w:t>
            </w:r>
          </w:p>
        </w:tc>
        <w:tc>
          <w:tcPr>
            <w:tcW w:type="dxa" w:w="900"/>
            <w:tcMar>
              <w:top w:type="dxa" w:w="80"/>
              <w:left w:type="dxa" w:w="100"/>
              <w:bottom w:type="dxa" w:w="80"/>
              <w:right w:type="dxa" w:w="100"/>
            </w:tcMar>
            <w:vAlign w:val="center"/>
          </w:tcPr>
          <w:p>
            <w:pPr>
              <w:jc w:val="left"/>
            </w:pPr>
            <w:r>
              <w:rPr>
                <w:b/>
                <w:bCs/>
                <w:color w:val="B7950B"/>
                <w:sz w:val="19"/>
                <w:szCs w:val="19"/>
              </w:rPr>
              <w:t xml:space="preserve">Medium</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Publish a System Requirements page: supported OS list, min CPU/RAM/disk with a sizing rule of thumb for SQLite growth, supported browser versions, and an explicit concurrent-user ceiling with guidance to migrate to PostgreSQL beyond it (already informally noted in PROJECT_REVIEW §3.5, never published).</w:t>
            </w:r>
          </w:p>
        </w:tc>
      </w:tr>
      <w:tr>
        <w:trPr>
          <w:cantSplit/>
        </w:trPr>
        <w:tc>
          <w:tcPr>
            <w:tcW w:type="dxa" w:w="1500"/>
            <w:shd w:fill="EEF3F8" w:val="clear"/>
            <w:tcMar>
              <w:top w:type="dxa" w:w="80"/>
              <w:left w:type="dxa" w:w="100"/>
              <w:bottom w:type="dxa" w:w="80"/>
              <w:right w:type="dxa" w:w="100"/>
            </w:tcMar>
            <w:vAlign w:val="center"/>
          </w:tcPr>
          <w:p>
            <w:pPr>
              <w:jc w:val="left"/>
            </w:pPr>
            <w:r>
              <w:rPr>
                <w:b/>
                <w:bCs/>
                <w:color w:val="000000"/>
                <w:sz w:val="19"/>
                <w:szCs w:val="19"/>
              </w:rPr>
              <w:t xml:space="preserve">4. Data stays in-environment, with optional governed LLM connectivity</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Zero LLM integration exists in the codebase today — confirmed by search of server.py and js/. Product is currently marketed as '100% offline, no cloud, no telemetry' (README, SECURITY.md); the one acknowledged exception is an outbound call to cdn.plot.ly. An OIDC/SSO module (auth_oidc.py) exists but is an explicit placeholder stub.</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The requirement — optional, governed LLM connectivity while ticket data never leaves the box without consent — has no implementation and no policy layer (redaction, consent, audit trail) to build one safely on top of.</w:t>
            </w:r>
          </w:p>
        </w:tc>
        <w:tc>
          <w:tcPr>
            <w:tcW w:type="dxa" w:w="900"/>
            <w:shd w:fill="EEF3F8" w:val="clear"/>
            <w:tcMar>
              <w:top w:type="dxa" w:w="80"/>
              <w:left w:type="dxa" w:w="100"/>
              <w:bottom w:type="dxa" w:w="80"/>
              <w:right w:type="dxa" w:w="100"/>
            </w:tcMar>
            <w:vAlign w:val="center"/>
          </w:tcPr>
          <w:p>
            <w:pPr>
              <w:jc w:val="left"/>
            </w:pPr>
            <w:r>
              <w:rPr>
                <w:b/>
                <w:bCs/>
                <w:color w:val="D9822B"/>
                <w:sz w:val="19"/>
                <w:szCs w:val="19"/>
              </w:rPr>
              <w:t xml:space="preserve">High</w:t>
            </w:r>
          </w:p>
        </w:tc>
        <w:tc>
          <w:tcPr>
            <w:tcW w:type="dxa" w:w="26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Add a pluggable LLM-provider interface (local models via Ollama/LM Studio and cloud providers via a common contract) — this also delivers the 'pluggable NLP backend' item already on your own roadmap. Default OFF, with an explicit Admin Panel toggle and a persistent UI indicator (AI: Off / Local / Cloud) mirroring the existing OFFLINE MODE pill. Add PII redaction before any external call, plus an outbound-call audit log in Execution Logs. Fix the Plotly CDN leak at the same time so the offline claim is accurate again.</w:t>
            </w:r>
          </w:p>
        </w:tc>
      </w:tr>
      <w:tr>
        <w:trPr>
          <w:cantSplit/>
        </w:trPr>
        <w:tc>
          <w:tcPr>
            <w:tcW w:type="dxa" w:w="1500"/>
            <w:tcMar>
              <w:top w:type="dxa" w:w="80"/>
              <w:left w:type="dxa" w:w="100"/>
              <w:bottom w:type="dxa" w:w="80"/>
              <w:right w:type="dxa" w:w="100"/>
            </w:tcMar>
            <w:vAlign w:val="center"/>
          </w:tcPr>
          <w:p>
            <w:pPr>
              <w:jc w:val="left"/>
            </w:pPr>
            <w:r>
              <w:rPr>
                <w:b/>
                <w:bCs/>
                <w:color w:val="000000"/>
                <w:sz w:val="19"/>
                <w:szCs w:val="19"/>
              </w:rPr>
              <w:t xml:space="preserve">5. Modern build solutions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No package.json, no bundler, no TypeScript, no JS linter/formatter. Frontend is raw &lt;script&gt; tags; third-party libraries are vendored raw or CDN-loaded. Backend uses requirements.txt only (no pyproject.toml). No Dockerfile despite being on your own roadmap.</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Nothing is bundled, tree-shaken, minified, type-checked, or containerized — 'modern build tooling' is absent end-to-end.</w:t>
            </w:r>
          </w:p>
        </w:tc>
        <w:tc>
          <w:tcPr>
            <w:tcW w:type="dxa" w:w="900"/>
            <w:tcMar>
              <w:top w:type="dxa" w:w="80"/>
              <w:left w:type="dxa" w:w="100"/>
              <w:bottom w:type="dxa" w:w="80"/>
              <w:right w:type="dxa" w:w="100"/>
            </w:tcMar>
            <w:vAlign w:val="center"/>
          </w:tcPr>
          <w:p>
            <w:pPr>
              <w:jc w:val="left"/>
            </w:pPr>
            <w:r>
              <w:rPr>
                <w:b/>
                <w:bCs/>
                <w:color w:val="B7950B"/>
                <w:sz w:val="19"/>
                <w:szCs w:val="19"/>
              </w:rPr>
              <w:t xml:space="preserve">Medium-High</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Introduce Vite for the frontend (bundling, dev server, minification, and an easy on-ramp to a framework later). Add ESLint + Prettier as pre-commit hooks alongside the existing flake8/bandit ones. Migrate Python packaging to pyproject.toml. Add a Dockerfile + docker-compose.yml and wire both into CI so a broken build fails the pipeline.</w:t>
            </w:r>
          </w:p>
        </w:tc>
      </w:tr>
      <w:tr>
        <w:trPr>
          <w:cantSplit/>
        </w:trPr>
        <w:tc>
          <w:tcPr>
            <w:tcW w:type="dxa" w:w="1500"/>
            <w:shd w:fill="EEF3F8" w:val="clear"/>
            <w:tcMar>
              <w:top w:type="dxa" w:w="80"/>
              <w:left w:type="dxa" w:w="100"/>
              <w:bottom w:type="dxa" w:w="80"/>
              <w:right w:type="dxa" w:w="100"/>
            </w:tcMar>
            <w:vAlign w:val="center"/>
          </w:tcPr>
          <w:p>
            <w:pPr>
              <w:jc w:val="left"/>
            </w:pPr>
            <w:r>
              <w:rPr>
                <w:b/>
                <w:bCs/>
                <w:color w:val="000000"/>
                <w:sz w:val="19"/>
                <w:szCs w:val="19"/>
              </w:rPr>
              <w:t xml:space="preserve">6. One-click installation</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Setup today: clone repo → create venv → pip install → copy/edit .env → run python server.py from a terminal. Requires git, Python, and CLI comfort.</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This is a developer workflow, not a customer install. Blocks the go-to-market motion independent of any other fix on this list.</w:t>
            </w:r>
          </w:p>
        </w:tc>
        <w:tc>
          <w:tcPr>
            <w:tcW w:type="dxa" w:w="900"/>
            <w:shd w:fill="EEF3F8" w:val="clear"/>
            <w:tcMar>
              <w:top w:type="dxa" w:w="80"/>
              <w:left w:type="dxa" w:w="100"/>
              <w:bottom w:type="dxa" w:w="80"/>
              <w:right w:type="dxa" w:w="100"/>
            </w:tcMar>
            <w:vAlign w:val="center"/>
          </w:tcPr>
          <w:p>
            <w:pPr>
              <w:jc w:val="left"/>
            </w:pPr>
            <w:r>
              <w:rPr>
                <w:b/>
                <w:bCs/>
                <w:color w:val="D9822B"/>
                <w:sz w:val="19"/>
                <w:szCs w:val="19"/>
              </w:rPr>
              <w:t xml:space="preserve">High</w:t>
            </w:r>
          </w:p>
        </w:tc>
        <w:tc>
          <w:tcPr>
            <w:tcW w:type="dxa" w:w="26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Ship a Docker image + docker-compose.yml as the primary path ('docker compose up -d', no Python/git on the host — fits an IT-managed on-prem enterprise buyer) alongside a signed native installer (PyInstaller + Inno Setup/.pkg) for teams evaluating on a single machine. Both should auto-generate SECRET_KEY and force a first-run admin password instead of shipping a documented default.</w:t>
            </w:r>
          </w:p>
        </w:tc>
      </w:tr>
      <w:tr>
        <w:trPr>
          <w:cantSplit/>
        </w:trPr>
        <w:tc>
          <w:tcPr>
            <w:tcW w:type="dxa" w:w="1500"/>
            <w:tcMar>
              <w:top w:type="dxa" w:w="80"/>
              <w:left w:type="dxa" w:w="100"/>
              <w:bottom w:type="dxa" w:w="80"/>
              <w:right w:type="dxa" w:w="100"/>
            </w:tcMar>
            <w:vAlign w:val="center"/>
          </w:tcPr>
          <w:p>
            <w:pPr>
              <w:jc w:val="left"/>
            </w:pPr>
            <w:r>
              <w:rPr>
                <w:b/>
                <w:bCs/>
                <w:color w:val="000000"/>
                <w:sz w:val="19"/>
                <w:szCs w:val="19"/>
              </w:rPr>
              <w:t xml:space="preserve">7. Minimum skill needed to run and consume</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Running the server requires developer-level setup (see item 6). Once running, navigation is reasonable, but there is no in-app guidance: docs/user-guide.pdf exists on disk but is 0 bytes; empty-states (e.g. Automation Radar silently returning no results when scikit-learn is absent) explain nothing in the UI.</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Setup requires developer skill; day-2 use relies on tribal knowledge that isn't captured anywhere the end user can see.</w:t>
            </w:r>
          </w:p>
        </w:tc>
        <w:tc>
          <w:tcPr>
            <w:tcW w:type="dxa" w:w="900"/>
            <w:tcMar>
              <w:top w:type="dxa" w:w="80"/>
              <w:left w:type="dxa" w:w="100"/>
              <w:bottom w:type="dxa" w:w="80"/>
              <w:right w:type="dxa" w:w="100"/>
            </w:tcMar>
            <w:vAlign w:val="center"/>
          </w:tcPr>
          <w:p>
            <w:pPr>
              <w:jc w:val="left"/>
            </w:pPr>
            <w:r>
              <w:rPr>
                <w:b/>
                <w:bCs/>
                <w:color w:val="B7950B"/>
                <w:sz w:val="19"/>
                <w:szCs w:val="19"/>
              </w:rPr>
              <w:t xml:space="preserve">Medium</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Solved for setup by item 6. For daily use: write the actual user guide (the placeholder file is empty — a short task, not a long one), turn silent empty-states into explanatory in-UI messages, and add a first-run onboarding flow with a sample dataset so a non-technical QA lead reaches a first meaningful dashboard without reading docs.</w:t>
            </w:r>
          </w:p>
        </w:tc>
      </w:tr>
      <w:tr>
        <w:trPr>
          <w:cantSplit/>
        </w:trPr>
        <w:tc>
          <w:tcPr>
            <w:tcW w:type="dxa" w:w="1500"/>
            <w:shd w:fill="EEF3F8" w:val="clear"/>
            <w:tcMar>
              <w:top w:type="dxa" w:w="80"/>
              <w:left w:type="dxa" w:w="100"/>
              <w:bottom w:type="dxa" w:w="80"/>
              <w:right w:type="dxa" w:w="100"/>
            </w:tcMar>
            <w:vAlign w:val="center"/>
          </w:tcPr>
          <w:p>
            <w:pPr>
              <w:jc w:val="left"/>
            </w:pPr>
            <w:r>
              <w:rPr>
                <w:b/>
                <w:bCs/>
                <w:color w:val="000000"/>
                <w:sz w:val="19"/>
                <w:szCs w:val="19"/>
              </w:rPr>
              <w:t xml:space="preserve">8. Comprehensive logging for troubleshooting</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A genuine strength already: daily rotating file logs (30-day retention), console + file handlers, ISO timestamps, DEBUG-level request/response logging, and a live in-app log viewer with level filtering.</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Logs are unstructured plain text (hard to ship to a SIEM at scale), no per-request correlation ID, no redaction filter (ticket free-text could hit DEBUG logs, in tension with the GDPR goal), and no alerting hook for ERROR-level events.</w:t>
            </w:r>
          </w:p>
        </w:tc>
        <w:tc>
          <w:tcPr>
            <w:tcW w:type="dxa" w:w="900"/>
            <w:shd w:fill="EEF3F8" w:val="clear"/>
            <w:tcMar>
              <w:top w:type="dxa" w:w="80"/>
              <w:left w:type="dxa" w:w="100"/>
              <w:bottom w:type="dxa" w:w="80"/>
              <w:right w:type="dxa" w:w="100"/>
            </w:tcMar>
            <w:vAlign w:val="center"/>
          </w:tcPr>
          <w:p>
            <w:pPr>
              <w:jc w:val="left"/>
            </w:pPr>
            <w:r>
              <w:rPr>
                <w:b/>
                <w:bCs/>
                <w:color w:val="B7950B"/>
                <w:sz w:val="19"/>
                <w:szCs w:val="19"/>
              </w:rPr>
              <w:t xml:space="preserve">Low-Medium</w:t>
            </w:r>
          </w:p>
        </w:tc>
        <w:tc>
          <w:tcPr>
            <w:tcW w:type="dxa" w:w="26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Add an optional structured JSON logging mode (LOG_FORMAT=json), a per-request correlation ID threaded through every log line, and a redaction filter for known-sensitive fields — while keeping the current human-readable format as the default.</w:t>
            </w:r>
          </w:p>
        </w:tc>
      </w:tr>
      <w:tr>
        <w:trPr>
          <w:cantSplit/>
        </w:trPr>
        <w:tc>
          <w:tcPr>
            <w:tcW w:type="dxa" w:w="1500"/>
            <w:tcMar>
              <w:top w:type="dxa" w:w="80"/>
              <w:left w:type="dxa" w:w="100"/>
              <w:bottom w:type="dxa" w:w="80"/>
              <w:right w:type="dxa" w:w="100"/>
            </w:tcMar>
            <w:vAlign w:val="center"/>
          </w:tcPr>
          <w:p>
            <w:pPr>
              <w:jc w:val="left"/>
            </w:pPr>
            <w:r>
              <w:rPr>
                <w:b/>
                <w:bCs/>
                <w:color w:val="000000"/>
                <w:sz w:val="19"/>
                <w:szCs w:val="19"/>
              </w:rPr>
              <w:t xml:space="preserve">9. Software development best practices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Good foundations: pre-commit hooks (flake8, bandit, detect-secrets), CI matrix across 3 OSes × 3 Python versions, pip-audit in CI (currently clean — 19 deps, zero known vulnerabilities), CONTRIBUTING.md, CODE_OF_CONDUCT.md, semantic CHANGELOG.</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ci.yml contains two full, concatenated workflow definitions (duplicate top-level name/on/jobs keys) — invalid YAML, meaning part of your CI likely isn't running today. The only two test files are trivial (test_health.py) or test a separate stub engine (test_ctq_engine.py tests ctq_engine_stub.py, not the real PyCTQEngine) — there is no coverage of the actual 42-criterion engine, sentiment engine, resolution-integrity engine, or the JS engine, despite CONTRIBUTING.md explicitly requiring the JS/Python engines stay in sync. One of the 8 marketed Quality Pillars ('Objective Evaluation') has zero criteria mapped to it per Archtecture.txt — a functional-completeness gap in the core product, not just tooling.</w:t>
            </w:r>
          </w:p>
        </w:tc>
        <w:tc>
          <w:tcPr>
            <w:tcW w:type="dxa" w:w="900"/>
            <w:tcMar>
              <w:top w:type="dxa" w:w="80"/>
              <w:left w:type="dxa" w:w="100"/>
              <w:bottom w:type="dxa" w:w="80"/>
              <w:right w:type="dxa" w:w="100"/>
            </w:tcMar>
            <w:vAlign w:val="center"/>
          </w:tcPr>
          <w:p>
            <w:pPr>
              <w:jc w:val="left"/>
            </w:pPr>
            <w:r>
              <w:rPr>
                <w:b/>
                <w:bCs/>
                <w:color w:val="D9822B"/>
                <w:sz w:val="19"/>
                <w:szCs w:val="19"/>
              </w:rPr>
              <w:t xml:space="preserve">High</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Split ci.yml into two valid workflow files immediately and confirm both run green. Write real tests against PyCTQEngine directly (not the stub), covering all 42 criteria plus the sentiment/resolution/category engines. Add the dual-engine parity test CONTRIBUTING.md already calls for. Resolve or relabel the empty 'Objective Evaluation' pillar. Split server.py (1,688 lines, one file) into routes/engines/db modules once coverage exists to make it safe.</w:t>
            </w:r>
          </w:p>
        </w:tc>
      </w:tr>
      <w:tr>
        <w:trPr>
          <w:cantSplit/>
        </w:trPr>
        <w:tc>
          <w:tcPr>
            <w:tcW w:type="dxa" w:w="1500"/>
            <w:shd w:fill="EEF3F8" w:val="clear"/>
            <w:tcMar>
              <w:top w:type="dxa" w:w="80"/>
              <w:left w:type="dxa" w:w="100"/>
              <w:bottom w:type="dxa" w:w="80"/>
              <w:right w:type="dxa" w:w="100"/>
            </w:tcMar>
            <w:vAlign w:val="center"/>
          </w:tcPr>
          <w:p>
            <w:pPr>
              <w:jc w:val="left"/>
            </w:pPr>
            <w:r>
              <w:rPr>
                <w:b/>
                <w:bCs/>
                <w:color w:val="000000"/>
                <w:sz w:val="19"/>
                <w:szCs w:val="19"/>
              </w:rPr>
              <w:t xml:space="preserve">10. Security / vulnerability validation</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Real strengths: bcrypt (cost 12) password hashing, parameterized SQL throughout, CORS restricted to configured origins, HttpOnly+SameSite session cookies, session timeout, bandit/detect-secrets/pip-audit wired into CI — pip_audit_report.json currently shows zero known vulnerabilities.</w:t>
            </w:r>
          </w:p>
        </w:tc>
        <w:tc>
          <w:tcPr>
            <w:tcW w:type="dxa" w:w="24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CRITICAL — none of the business API routes enforce authentication server-side. Only /api/auth/login, /logout and /session check the session; @app.before_request only logs requests, it never rejects unauthenticated ones. Every other endpoint — /api/audit/score, /api/audit/batch, /api/history/*, /api/patterns/notes (incl. POST/PUT/DELETE), /api/analyse/sentiment, /api/automation/candidates, /api/repeat/callers, /api/kb/citations, /api/logs — is reachable by anyone with network access to the server, without logging in; the login screen is client-side-only theatre. Also: default credentials (admin/Admin@CTQ2025, user/user123) are published in plaintext across three docs; ALLOW_DEV_DEFAULTS can silently reactivate that default admin password in a real deployment; no rate limiting on login; SECRET_KEY regenerates on every restart if unset in .env, invalidating all sessions.</w:t>
            </w:r>
          </w:p>
        </w:tc>
        <w:tc>
          <w:tcPr>
            <w:tcW w:type="dxa" w:w="900"/>
            <w:shd w:fill="EEF3F8" w:val="clear"/>
            <w:tcMar>
              <w:top w:type="dxa" w:w="80"/>
              <w:left w:type="dxa" w:w="100"/>
              <w:bottom w:type="dxa" w:w="80"/>
              <w:right w:type="dxa" w:w="100"/>
            </w:tcMar>
            <w:vAlign w:val="center"/>
          </w:tcPr>
          <w:p>
            <w:pPr>
              <w:jc w:val="left"/>
            </w:pPr>
            <w:r>
              <w:rPr>
                <w:b/>
                <w:bCs/>
                <w:color w:val="C0392B"/>
                <w:sz w:val="19"/>
                <w:szCs w:val="19"/>
              </w:rPr>
              <w:t xml:space="preserve">Critical</w:t>
            </w:r>
          </w:p>
        </w:tc>
        <w:tc>
          <w:tcPr>
            <w:tcW w:type="dxa" w:w="26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Immediate: enforce a login/session check on every business route (allow-list only the 3 auth endpoints + static assets); add automated tests asserting 401 on each protected route when unauthenticated so this can't silently regress. Force a password change on first login instead of documenting a static default. Add rate limiting to /api/auth/login. Add a startup guard that refuses ALLOW_DEV_DEFAULTS=true outside a loopback-only bind. Persist SECRET_KEY across restarts. Once fixed, add an OWASP ZAP baseline scan to CI and get an external pen test before the first paying customer, given ITSM tickets can carry employee PII.</w:t>
            </w:r>
          </w:p>
        </w:tc>
      </w:tr>
    </w:tbl>
    <w:p>
      <w:r>
        <w:br w:type="page"/>
      </w:r>
    </w:p>
    <w:p>
      <w:pPr>
        <w:pStyle w:val="Heading1"/>
        <w:spacing w:after="200" w:before="400"/>
      </w:pPr>
      <w:r>
        <w:t xml:space="preserve">Critical Findings, Ranked</w:t>
      </w:r>
    </w:p>
    <w:p>
      <w:pPr>
        <w:pStyle w:val="Heading3"/>
        <w:spacing w:after="120" w:before="220"/>
      </w:pPr>
      <w:r>
        <w:t xml:space="preserve">1. No server-side authorization on the API</w:t>
      </w:r>
    </w:p>
    <w:p>
      <w:pPr>
        <w:spacing w:after="160" w:line="276"/>
      </w:pPr>
      <w:r>
        <w:t xml:space="preserve">Every business endpoint (score, batch upload, history, note-pattern CRUD, logs) is callable by anyone on the network without a session — the login screen is enforced client-side only. This directly undermines the product's 'your data never leaves the box, and only your team can see it' trust claim. Release blocker.</w:t>
      </w:r>
    </w:p>
    <w:p>
      <w:pPr>
        <w:pStyle w:val="Heading3"/>
        <w:spacing w:after="120" w:before="220"/>
      </w:pPr>
      <w:r>
        <w:t xml:space="preserve">2. CI workflow file is invalid YAML</w:t>
      </w:r>
    </w:p>
    <w:p>
      <w:pPr>
        <w:spacing w:after="160" w:line="276"/>
      </w:pPr>
      <w:r>
        <w:t xml:space="preserve">ci.yml contains two full, concatenated workflow definitions (duplicate name/on/jobs keys). Part of the pipeline you believe is protecting every commit — including the CTQ-engine smoke tests — is likely not executing.</w:t>
      </w:r>
    </w:p>
    <w:p>
      <w:pPr>
        <w:pStyle w:val="Heading3"/>
        <w:spacing w:after="120" w:before="220"/>
      </w:pPr>
      <w:r>
        <w:t xml:space="preserve">3. The test suite doesn't test the real scoring engine</w:t>
      </w:r>
    </w:p>
    <w:p>
      <w:pPr>
        <w:spacing w:after="160" w:line="276"/>
      </w:pPr>
      <w:r>
        <w:t xml:space="preserve">The only scoring-related test (test_ctq_engine.py) exercises ctq_engine_stub.py, a simplified stand-in, not PyCTQEngine — the actual 42-criterion engine that is the product's core IP. There is effectively zero automated confidence in the thing customers are paying for.</w:t>
      </w:r>
    </w:p>
    <w:p>
      <w:pPr>
        <w:pStyle w:val="Heading3"/>
        <w:spacing w:after="120" w:before="220"/>
      </w:pPr>
      <w:r>
        <w:t xml:space="preserve">4. No LLM connectivity exists, and no governance layer to add it safely</w:t>
      </w:r>
    </w:p>
    <w:p>
      <w:pPr>
        <w:spacing w:after="160" w:line="276"/>
      </w:pPr>
      <w:r>
        <w:t xml:space="preserve">This is a named release requirement with zero current coverage. Building it without a redaction/consent/audit layer first would also be the fastest way to break the offline-privacy promise that is currently the product's main competitive edge.</w:t>
      </w:r>
    </w:p>
    <w:p>
      <w:pPr>
        <w:pStyle w:val="Heading3"/>
        <w:spacing w:after="120" w:before="220"/>
      </w:pPr>
      <w:r>
        <w:t xml:space="preserve">5. No one-click installation path</w:t>
      </w:r>
    </w:p>
    <w:p>
      <w:pPr>
        <w:spacing w:after="160" w:line="276"/>
      </w:pPr>
      <w:r>
        <w:t xml:space="preserve">Today's setup (git clone, venv, pip install, edit .env, run from a terminal) requires developer skill. This blocks the go-to-market motion regardless of how many other items on this list get fixed.</w:t>
      </w:r>
    </w:p>
    <w:p>
      <w:pPr>
        <w:pStyle w:val="Heading1"/>
        <w:spacing w:after="200" w:before="400"/>
      </w:pPr>
      <w:r>
        <w:t xml:space="preserve">Prioritized Roadmap</w:t>
      </w:r>
    </w:p>
    <w:p>
      <w:pPr>
        <w:spacing w:after="160" w:line="276"/>
      </w:pPr>
      <w:r>
        <w:t xml:space="preserve">Sequenced so that trust-critical fixes (security, CI integrity) land first, packaging/market-readiness second, and the larger architectural bets (LLM connectivity, installer, framework migration) last, once the foundation under them is trustworthy.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7600"/>
            <w:shd w:fill="1F3864" w:val="clear"/>
            <w:tcMar>
              <w:top w:type="dxa" w:w="80"/>
              <w:left w:type="dxa" w:w="100"/>
              <w:bottom w:type="dxa" w:w="80"/>
              <w:right w:type="dxa" w:w="100"/>
            </w:tcMar>
            <w:vAlign w:val="center"/>
          </w:tcPr>
          <w:p>
            <w:pPr>
              <w:jc w:val="left"/>
            </w:pPr>
            <w:r>
              <w:rPr>
                <w:b/>
                <w:bCs/>
                <w:color w:val="FFFFFF"/>
                <w:sz w:val="19"/>
                <w:szCs w:val="19"/>
              </w:rPr>
              <w:t xml:space="preserve">Work</w:t>
            </w:r>
          </w:p>
        </w:tc>
      </w:tr>
      <w:tr>
        <w:tc>
          <w:tcPr>
            <w:tcW w:type="dxa" w:w="2200"/>
            <w:tcMar>
              <w:top w:type="dxa" w:w="80"/>
              <w:left w:type="dxa" w:w="100"/>
              <w:bottom w:type="dxa" w:w="80"/>
              <w:right w:type="dxa" w:w="100"/>
            </w:tcMar>
            <w:vAlign w:val="center"/>
          </w:tcPr>
          <w:p>
            <w:pPr>
              <w:jc w:val="left"/>
            </w:pPr>
            <w:r>
              <w:rPr>
                <w:b/>
                <w:bCs/>
                <w:color w:val="000000"/>
                <w:sz w:val="19"/>
                <w:szCs w:val="19"/>
              </w:rPr>
              <w:t xml:space="preserve">Now (0–2 weeks)</w:t>
            </w:r>
          </w:p>
        </w:tc>
        <w:tc>
          <w:tcPr>
            <w:tcW w:type="dxa" w:w="7600"/>
            <w:tcMar>
              <w:top w:type="dxa" w:w="80"/>
              <w:left w:type="dxa" w:w="100"/>
              <w:bottom w:type="dxa" w:w="80"/>
              <w:right w:type="dxa" w:w="100"/>
            </w:tcMar>
            <w:vAlign w:val="center"/>
          </w:tcPr>
          <w:p>
            <w:pPr>
              <w:jc w:val="left"/>
            </w:pPr>
            <w:r>
              <w:rPr>
                <w:b w:val="false"/>
                <w:bCs w:val="false"/>
                <w:color w:val="000000"/>
                <w:sz w:val="19"/>
                <w:szCs w:val="19"/>
              </w:rPr>
              <w:t xml:space="preserve">Enforce server-side auth on every API route + regression tests · Split ci.yml into valid workflow files · Remove/replace plaintext default credentials with forced first-run password change · Self-host Plotly · Persist SECRET_KEY · Add login rate limiting</w:t>
            </w:r>
          </w:p>
        </w:tc>
      </w:tr>
      <w:tr>
        <w:tc>
          <w:tcPr>
            <w:tcW w:type="dxa" w:w="2200"/>
            <w:shd w:fill="EEF3F8" w:val="clear"/>
            <w:tcMar>
              <w:top w:type="dxa" w:w="80"/>
              <w:left w:type="dxa" w:w="100"/>
              <w:bottom w:type="dxa" w:w="80"/>
              <w:right w:type="dxa" w:w="100"/>
            </w:tcMar>
            <w:vAlign w:val="center"/>
          </w:tcPr>
          <w:p>
            <w:pPr>
              <w:jc w:val="left"/>
            </w:pPr>
            <w:r>
              <w:rPr>
                <w:b/>
                <w:bCs/>
                <w:color w:val="000000"/>
                <w:sz w:val="19"/>
                <w:szCs w:val="19"/>
              </w:rPr>
              <w:t xml:space="preserve">Next (2–6 weeks)</w:t>
            </w:r>
          </w:p>
        </w:tc>
        <w:tc>
          <w:tcPr>
            <w:tcW w:type="dxa" w:w="76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Real test suite against PyCTQEngine (all 42 criteria) + sentiment/resolution/category engines · Dual-engine (JS vs Python) parity test in CI · Dockerfile + docker-compose.yml · Publish System Requirements doc · Structured/redacted logging option · WCAG 2.1 AA accessibility pass · Measure &amp; publish perf SLAs</w:t>
            </w:r>
          </w:p>
        </w:tc>
      </w:tr>
      <w:tr>
        <w:tc>
          <w:tcPr>
            <w:tcW w:type="dxa" w:w="2200"/>
            <w:tcMar>
              <w:top w:type="dxa" w:w="80"/>
              <w:left w:type="dxa" w:w="100"/>
              <w:bottom w:type="dxa" w:w="80"/>
              <w:right w:type="dxa" w:w="100"/>
            </w:tcMar>
            <w:vAlign w:val="center"/>
          </w:tcPr>
          <w:p>
            <w:pPr>
              <w:jc w:val="left"/>
            </w:pPr>
            <w:r>
              <w:rPr>
                <w:b/>
                <w:bCs/>
                <w:color w:val="000000"/>
                <w:sz w:val="19"/>
                <w:szCs w:val="19"/>
              </w:rPr>
              <w:t xml:space="preserve">Later (6–12 weeks)</w:t>
            </w:r>
          </w:p>
        </w:tc>
        <w:tc>
          <w:tcPr>
            <w:tcW w:type="dxa" w:w="7600"/>
            <w:tcMar>
              <w:top w:type="dxa" w:w="80"/>
              <w:left w:type="dxa" w:w="100"/>
              <w:bottom w:type="dxa" w:w="80"/>
              <w:right w:type="dxa" w:w="100"/>
            </w:tcMar>
            <w:vAlign w:val="center"/>
          </w:tcPr>
          <w:p>
            <w:pPr>
              <w:jc w:val="left"/>
            </w:pPr>
            <w:r>
              <w:rPr>
                <w:b w:val="false"/>
                <w:bCs w:val="false"/>
                <w:color w:val="000000"/>
                <w:sz w:val="19"/>
                <w:szCs w:val="19"/>
              </w:rPr>
              <w:t xml:space="preserve">Pluggable LLM connector with redaction, consent toggle, and audit trail · Signed native installer (Windows/macOS) · Frontend build migration (Vite) + incremental componentization · Mobile-responsive pass · External security review / penetration test · Split server.py into modules</w:t>
            </w:r>
          </w:p>
        </w:tc>
      </w:tr>
    </w:tbl>
    <w:p>
      <w:pPr>
        <w:spacing w:after="200"/>
      </w:pPr>
    </w:p>
    <w:p>
      <w:pPr>
        <w:pStyle w:val="Heading1"/>
        <w:spacing w:after="200" w:before="400"/>
      </w:pPr>
      <w:r>
        <w:t xml:space="preserve">Release-Readiness Checklist</w:t>
      </w:r>
    </w:p>
    <w:p>
      <w:pPr>
        <w:spacing w:after="160" w:line="276"/>
      </w:pPr>
      <w:r>
        <w:t xml:space="preserve">A quick-reference gate for each of your ten stated requirements. None currently pass; one is mostly there.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9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700"/>
            <w:shd w:fill="1F3864"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4900"/>
            <w:shd w:fill="1F3864" w:val="clear"/>
            <w:tcMar>
              <w:top w:type="dxa" w:w="80"/>
              <w:left w:type="dxa" w:w="100"/>
              <w:bottom w:type="dxa" w:w="80"/>
              <w:right w:type="dxa" w:w="100"/>
            </w:tcMar>
            <w:vAlign w:val="center"/>
          </w:tcPr>
          <w:p>
            <w:pPr>
              <w:jc w:val="left"/>
            </w:pPr>
            <w:r>
              <w:rPr>
                <w:b/>
                <w:bCs/>
                <w:color w:val="FFFFFF"/>
                <w:sz w:val="19"/>
                <w:szCs w:val="19"/>
              </w:rPr>
              <w:t xml:space="preserve">Blocking gap</w:t>
            </w:r>
          </w:p>
        </w:tc>
      </w:tr>
      <w:tr>
        <w:tc>
          <w:tcPr>
            <w:tcW w:type="dxa" w:w="3200"/>
            <w:tcMar>
              <w:top w:type="dxa" w:w="80"/>
              <w:left w:type="dxa" w:w="100"/>
              <w:bottom w:type="dxa" w:w="80"/>
              <w:right w:type="dxa" w:w="100"/>
            </w:tcMar>
            <w:vAlign w:val="center"/>
          </w:tcPr>
          <w:p>
            <w:pPr>
              <w:jc w:val="left"/>
            </w:pPr>
            <w:r>
              <w:rPr>
                <w:b/>
                <w:bCs/>
                <w:color w:val="000000"/>
                <w:sz w:val="19"/>
                <w:szCs w:val="19"/>
              </w:rPr>
              <w:t xml:space="preserve">Modern, world-class UI</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 Not yet</w:t>
            </w:r>
          </w:p>
        </w:tc>
        <w:tc>
          <w:tcPr>
            <w:tcW w:type="dxa" w:w="4900"/>
            <w:tcMar>
              <w:top w:type="dxa" w:w="80"/>
              <w:left w:type="dxa" w:w="100"/>
              <w:bottom w:type="dxa" w:w="80"/>
              <w:right w:type="dxa" w:w="100"/>
            </w:tcMar>
            <w:vAlign w:val="center"/>
          </w:tcPr>
          <w:p>
            <w:pPr>
              <w:jc w:val="left"/>
            </w:pPr>
            <w:r>
              <w:rPr>
                <w:b w:val="false"/>
                <w:bCs w:val="false"/>
                <w:color w:val="000000"/>
                <w:sz w:val="19"/>
                <w:szCs w:val="19"/>
              </w:rPr>
              <w:t xml:space="preserve">Accessibility, componentization, icon set</w:t>
            </w:r>
          </w:p>
        </w:tc>
      </w:tr>
      <w:tr>
        <w:tc>
          <w:tcPr>
            <w:tcW w:type="dxa" w:w="3200"/>
            <w:shd w:fill="EEF3F8" w:val="clear"/>
            <w:tcMar>
              <w:top w:type="dxa" w:w="80"/>
              <w:left w:type="dxa" w:w="100"/>
              <w:bottom w:type="dxa" w:w="80"/>
              <w:right w:type="dxa" w:w="100"/>
            </w:tcMar>
            <w:vAlign w:val="center"/>
          </w:tcPr>
          <w:p>
            <w:pPr>
              <w:jc w:val="left"/>
            </w:pPr>
            <w:r>
              <w:rPr>
                <w:b/>
                <w:bCs/>
                <w:color w:val="000000"/>
                <w:sz w:val="19"/>
                <w:szCs w:val="19"/>
              </w:rPr>
              <w:t xml:space="preserve">Performance (defined &amp; measured)</w:t>
            </w:r>
          </w:p>
        </w:tc>
        <w:tc>
          <w:tcPr>
            <w:tcW w:type="dxa" w:w="17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 Not yet</w:t>
            </w:r>
          </w:p>
        </w:tc>
        <w:tc>
          <w:tcPr>
            <w:tcW w:type="dxa" w:w="49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No SLA exists; no benchmarks</w:t>
            </w:r>
          </w:p>
        </w:tc>
      </w:tr>
      <w:tr>
        <w:tc>
          <w:tcPr>
            <w:tcW w:type="dxa" w:w="3200"/>
            <w:tcMar>
              <w:top w:type="dxa" w:w="80"/>
              <w:left w:type="dxa" w:w="100"/>
              <w:bottom w:type="dxa" w:w="80"/>
              <w:right w:type="dxa" w:w="100"/>
            </w:tcMar>
            <w:vAlign w:val="center"/>
          </w:tcPr>
          <w:p>
            <w:pPr>
              <w:jc w:val="left"/>
            </w:pPr>
            <w:r>
              <w:rPr>
                <w:b/>
                <w:bCs/>
                <w:color w:val="000000"/>
                <w:sz w:val="19"/>
                <w:szCs w:val="19"/>
              </w:rPr>
              <w:t xml:space="preserve">Minimum system requirements published</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 Not yet</w:t>
            </w:r>
          </w:p>
        </w:tc>
        <w:tc>
          <w:tcPr>
            <w:tcW w:type="dxa" w:w="4900"/>
            <w:tcMar>
              <w:top w:type="dxa" w:w="80"/>
              <w:left w:type="dxa" w:w="100"/>
              <w:bottom w:type="dxa" w:w="80"/>
              <w:right w:type="dxa" w:w="100"/>
            </w:tcMar>
            <w:vAlign w:val="center"/>
          </w:tcPr>
          <w:p>
            <w:pPr>
              <w:jc w:val="left"/>
            </w:pPr>
            <w:r>
              <w:rPr>
                <w:b w:val="false"/>
                <w:bCs w:val="false"/>
                <w:color w:val="000000"/>
                <w:sz w:val="19"/>
                <w:szCs w:val="19"/>
              </w:rPr>
              <w:t xml:space="preserve">No spec sheet exists</w:t>
            </w:r>
          </w:p>
        </w:tc>
      </w:tr>
      <w:tr>
        <w:tc>
          <w:tcPr>
            <w:tcW w:type="dxa" w:w="3200"/>
            <w:shd w:fill="EEF3F8" w:val="clear"/>
            <w:tcMar>
              <w:top w:type="dxa" w:w="80"/>
              <w:left w:type="dxa" w:w="100"/>
              <w:bottom w:type="dxa" w:w="80"/>
              <w:right w:type="dxa" w:w="100"/>
            </w:tcMar>
            <w:vAlign w:val="center"/>
          </w:tcPr>
          <w:p>
            <w:pPr>
              <w:jc w:val="left"/>
            </w:pPr>
            <w:r>
              <w:rPr>
                <w:b/>
                <w:bCs/>
                <w:color w:val="000000"/>
                <w:sz w:val="19"/>
                <w:szCs w:val="19"/>
              </w:rPr>
              <w:t xml:space="preserve">Data stays in environment / governed LLM connectivity</w:t>
            </w:r>
          </w:p>
        </w:tc>
        <w:tc>
          <w:tcPr>
            <w:tcW w:type="dxa" w:w="17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 Not yet</w:t>
            </w:r>
          </w:p>
        </w:tc>
        <w:tc>
          <w:tcPr>
            <w:tcW w:type="dxa" w:w="49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No LLM code exists; CDN leak open</w:t>
            </w:r>
          </w:p>
        </w:tc>
      </w:tr>
      <w:tr>
        <w:tc>
          <w:tcPr>
            <w:tcW w:type="dxa" w:w="3200"/>
            <w:tcMar>
              <w:top w:type="dxa" w:w="80"/>
              <w:left w:type="dxa" w:w="100"/>
              <w:bottom w:type="dxa" w:w="80"/>
              <w:right w:type="dxa" w:w="100"/>
            </w:tcMar>
            <w:vAlign w:val="center"/>
          </w:tcPr>
          <w:p>
            <w:pPr>
              <w:jc w:val="left"/>
            </w:pPr>
            <w:r>
              <w:rPr>
                <w:b/>
                <w:bCs/>
                <w:color w:val="000000"/>
                <w:sz w:val="19"/>
                <w:szCs w:val="19"/>
              </w:rPr>
              <w:t xml:space="preserve">Modern build solutions</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 Not yet</w:t>
            </w:r>
          </w:p>
        </w:tc>
        <w:tc>
          <w:tcPr>
            <w:tcW w:type="dxa" w:w="4900"/>
            <w:tcMar>
              <w:top w:type="dxa" w:w="80"/>
              <w:left w:type="dxa" w:w="100"/>
              <w:bottom w:type="dxa" w:w="80"/>
              <w:right w:type="dxa" w:w="100"/>
            </w:tcMar>
            <w:vAlign w:val="center"/>
          </w:tcPr>
          <w:p>
            <w:pPr>
              <w:jc w:val="left"/>
            </w:pPr>
            <w:r>
              <w:rPr>
                <w:b w:val="false"/>
                <w:bCs w:val="false"/>
                <w:color w:val="000000"/>
                <w:sz w:val="19"/>
                <w:szCs w:val="19"/>
              </w:rPr>
              <w:t xml:space="preserve">No bundler, no Docker, no TS/lint for JS</w:t>
            </w:r>
          </w:p>
        </w:tc>
      </w:tr>
      <w:tr>
        <w:tc>
          <w:tcPr>
            <w:tcW w:type="dxa" w:w="3200"/>
            <w:shd w:fill="EEF3F8" w:val="clear"/>
            <w:tcMar>
              <w:top w:type="dxa" w:w="80"/>
              <w:left w:type="dxa" w:w="100"/>
              <w:bottom w:type="dxa" w:w="80"/>
              <w:right w:type="dxa" w:w="100"/>
            </w:tcMar>
            <w:vAlign w:val="center"/>
          </w:tcPr>
          <w:p>
            <w:pPr>
              <w:jc w:val="left"/>
            </w:pPr>
            <w:r>
              <w:rPr>
                <w:b/>
                <w:bCs/>
                <w:color w:val="000000"/>
                <w:sz w:val="19"/>
                <w:szCs w:val="19"/>
              </w:rPr>
              <w:t xml:space="preserve">One-click installation</w:t>
            </w:r>
          </w:p>
        </w:tc>
        <w:tc>
          <w:tcPr>
            <w:tcW w:type="dxa" w:w="17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 Not yet</w:t>
            </w:r>
          </w:p>
        </w:tc>
        <w:tc>
          <w:tcPr>
            <w:tcW w:type="dxa" w:w="49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Dev-only setup today</w:t>
            </w:r>
          </w:p>
        </w:tc>
      </w:tr>
      <w:tr>
        <w:tc>
          <w:tcPr>
            <w:tcW w:type="dxa" w:w="3200"/>
            <w:tcMar>
              <w:top w:type="dxa" w:w="80"/>
              <w:left w:type="dxa" w:w="100"/>
              <w:bottom w:type="dxa" w:w="80"/>
              <w:right w:type="dxa" w:w="100"/>
            </w:tcMar>
            <w:vAlign w:val="center"/>
          </w:tcPr>
          <w:p>
            <w:pPr>
              <w:jc w:val="left"/>
            </w:pPr>
            <w:r>
              <w:rPr>
                <w:b/>
                <w:bCs/>
                <w:color w:val="000000"/>
                <w:sz w:val="19"/>
                <w:szCs w:val="19"/>
              </w:rPr>
              <w:t xml:space="preserve">Minimum skill to run &amp; consume</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 Partial</w:t>
            </w:r>
          </w:p>
        </w:tc>
        <w:tc>
          <w:tcPr>
            <w:tcW w:type="dxa" w:w="4900"/>
            <w:tcMar>
              <w:top w:type="dxa" w:w="80"/>
              <w:left w:type="dxa" w:w="100"/>
              <w:bottom w:type="dxa" w:w="80"/>
              <w:right w:type="dxa" w:w="100"/>
            </w:tcMar>
            <w:vAlign w:val="center"/>
          </w:tcPr>
          <w:p>
            <w:pPr>
              <w:jc w:val="left"/>
            </w:pPr>
            <w:r>
              <w:rPr>
                <w:b w:val="false"/>
                <w:bCs w:val="false"/>
                <w:color w:val="000000"/>
                <w:sz w:val="19"/>
                <w:szCs w:val="19"/>
              </w:rPr>
              <w:t xml:space="preserve">Blocked by install; user guide is an empty file</w:t>
            </w:r>
          </w:p>
        </w:tc>
      </w:tr>
      <w:tr>
        <w:tc>
          <w:tcPr>
            <w:tcW w:type="dxa" w:w="3200"/>
            <w:shd w:fill="EEF3F8" w:val="clear"/>
            <w:tcMar>
              <w:top w:type="dxa" w:w="80"/>
              <w:left w:type="dxa" w:w="100"/>
              <w:bottom w:type="dxa" w:w="80"/>
              <w:right w:type="dxa" w:w="100"/>
            </w:tcMar>
            <w:vAlign w:val="center"/>
          </w:tcPr>
          <w:p>
            <w:pPr>
              <w:jc w:val="left"/>
            </w:pPr>
            <w:r>
              <w:rPr>
                <w:b/>
                <w:bCs/>
                <w:color w:val="000000"/>
                <w:sz w:val="19"/>
                <w:szCs w:val="19"/>
              </w:rPr>
              <w:t xml:space="preserve">Comprehensive logging</w:t>
            </w:r>
          </w:p>
        </w:tc>
        <w:tc>
          <w:tcPr>
            <w:tcW w:type="dxa" w:w="17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 Mostly there</w:t>
            </w:r>
          </w:p>
        </w:tc>
        <w:tc>
          <w:tcPr>
            <w:tcW w:type="dxa" w:w="49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Add structure, correlation ID, redaction</w:t>
            </w:r>
          </w:p>
        </w:tc>
      </w:tr>
      <w:tr>
        <w:tc>
          <w:tcPr>
            <w:tcW w:type="dxa" w:w="3200"/>
            <w:tcMar>
              <w:top w:type="dxa" w:w="80"/>
              <w:left w:type="dxa" w:w="100"/>
              <w:bottom w:type="dxa" w:w="80"/>
              <w:right w:type="dxa" w:w="100"/>
            </w:tcMar>
            <w:vAlign w:val="center"/>
          </w:tcPr>
          <w:p>
            <w:pPr>
              <w:jc w:val="left"/>
            </w:pPr>
            <w:r>
              <w:rPr>
                <w:b/>
                <w:bCs/>
                <w:color w:val="000000"/>
                <w:sz w:val="19"/>
                <w:szCs w:val="19"/>
              </w:rPr>
              <w:t xml:space="preserve">Software development best practices</w:t>
            </w:r>
          </w:p>
        </w:tc>
        <w:tc>
          <w:tcPr>
            <w:tcW w:type="dxa" w:w="1700"/>
            <w:tcMar>
              <w:top w:type="dxa" w:w="80"/>
              <w:left w:type="dxa" w:w="100"/>
              <w:bottom w:type="dxa" w:w="80"/>
              <w:right w:type="dxa" w:w="100"/>
            </w:tcMar>
            <w:vAlign w:val="center"/>
          </w:tcPr>
          <w:p>
            <w:pPr>
              <w:jc w:val="left"/>
            </w:pPr>
            <w:r>
              <w:rPr>
                <w:b w:val="false"/>
                <w:bCs w:val="false"/>
                <w:color w:val="000000"/>
                <w:sz w:val="19"/>
                <w:szCs w:val="19"/>
              </w:rPr>
              <w:t xml:space="preserve">⚠️ Partial</w:t>
            </w:r>
          </w:p>
        </w:tc>
        <w:tc>
          <w:tcPr>
            <w:tcW w:type="dxa" w:w="4900"/>
            <w:tcMar>
              <w:top w:type="dxa" w:w="80"/>
              <w:left w:type="dxa" w:w="100"/>
              <w:bottom w:type="dxa" w:w="80"/>
              <w:right w:type="dxa" w:w="100"/>
            </w:tcMar>
            <w:vAlign w:val="center"/>
          </w:tcPr>
          <w:p>
            <w:pPr>
              <w:jc w:val="left"/>
            </w:pPr>
            <w:r>
              <w:rPr>
                <w:b w:val="false"/>
                <w:bCs w:val="false"/>
                <w:color w:val="000000"/>
                <w:sz w:val="19"/>
                <w:szCs w:val="19"/>
              </w:rPr>
              <w:t xml:space="preserve">CI file is broken; tests don't cover real engine</w:t>
            </w:r>
          </w:p>
        </w:tc>
      </w:tr>
      <w:tr>
        <w:tc>
          <w:tcPr>
            <w:tcW w:type="dxa" w:w="3200"/>
            <w:shd w:fill="EEF3F8" w:val="clear"/>
            <w:tcMar>
              <w:top w:type="dxa" w:w="80"/>
              <w:left w:type="dxa" w:w="100"/>
              <w:bottom w:type="dxa" w:w="80"/>
              <w:right w:type="dxa" w:w="100"/>
            </w:tcMar>
            <w:vAlign w:val="center"/>
          </w:tcPr>
          <w:p>
            <w:pPr>
              <w:jc w:val="left"/>
            </w:pPr>
            <w:r>
              <w:rPr>
                <w:b/>
                <w:bCs/>
                <w:color w:val="000000"/>
                <w:sz w:val="19"/>
                <w:szCs w:val="19"/>
              </w:rPr>
              <w:t xml:space="preserve">Security / vulnerability validation</w:t>
            </w:r>
          </w:p>
        </w:tc>
        <w:tc>
          <w:tcPr>
            <w:tcW w:type="dxa" w:w="17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 Not yet</w:t>
            </w:r>
          </w:p>
        </w:tc>
        <w:tc>
          <w:tcPr>
            <w:tcW w:type="dxa" w:w="49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Critical: no API authorization enforced</w:t>
            </w:r>
          </w:p>
        </w:tc>
      </w:tr>
    </w:tbl>
    <w:p>
      <w:r>
        <w:br w:type="page"/>
      </w:r>
    </w:p>
    <w:p>
      <w:pPr>
        <w:pStyle w:val="Heading1"/>
        <w:spacing w:after="200" w:before="400"/>
      </w:pPr>
      <w:r>
        <w:t xml:space="preserve">Architecture Recommendations (per your direction)</w:t>
      </w:r>
    </w:p>
    <w:p>
      <w:pPr>
        <w:pStyle w:val="Heading2"/>
        <w:spacing w:after="150" w:before="300"/>
      </w:pPr>
      <w:r>
        <w:t xml:space="preserve">Distribution: Docker-first, with a native installer as a secondary path</w:t>
      </w:r>
    </w:p>
    <w:p>
      <w:pPr>
        <w:spacing w:after="160" w:line="276"/>
      </w:pPr>
      <w:r>
        <w:t xml:space="preserve">Given the target buyer is enterprise IT/service-desk teams deploying on-prem, a Docker image (docker compose up -d) is the most credible 'one command' path for that audience — IT teams already run Docker, and it sidesteps Python/venv entirely. Keep a signed native installer (PyInstaller-based) as a secondary path for smaller teams evaluating on a single laptop without Docker Desktop. Both paths should auto-generate SECRET_KEY and force a first-run admin password rather than shipping a documented default.</w:t>
      </w:r>
    </w:p>
    <w:p>
      <w:pPr>
        <w:pStyle w:val="Heading2"/>
        <w:spacing w:after="150" w:before="300"/>
      </w:pPr>
      <w:r>
        <w:t xml:space="preserve">LLM connectivity: pluggable, opt-in, governed</w:t>
      </w:r>
    </w:p>
    <w:p>
      <w:pPr>
        <w:spacing w:after="160" w:line="276"/>
      </w:pPr>
      <w:r>
        <w:t xml:space="preserve">Add a provider-agnostic LLM interface so local models (Ollama/LM Studio) and cloud APIs (OpenAI/Anthropic/Azure OpenAI) implement the same contract. Ship it OFF by default. The Admin Panel gets an explicit toggle and provider configuration; the header gets a persistent status indicator (mirroring the existing OFFLINE MODE pill) so it's always visible whether AI features are off, local, or calling out to a cloud provider. Before anything leaves the environment: redact caller PII and free text per a configurable field-level policy, and write an outbound-call audit entry (prompt hash, timestamp, user, token count) into the existing Execution Logs view — this becomes your evidence trail for the GDPR/data-protection bar you flagged.</w:t>
      </w:r>
    </w:p>
    <w:p>
      <w:pPr>
        <w:pStyle w:val="Heading2"/>
        <w:spacing w:after="150" w:before="300"/>
      </w:pPr>
      <w:r>
        <w:t xml:space="preserve">Compliance posture: GDPR-aligned hygiene now, formal certification later</w:t>
      </w:r>
    </w:p>
    <w:p>
      <w:pPr>
        <w:spacing w:after="160" w:line="276"/>
      </w:pPr>
      <w:r>
        <w:t xml:space="preserve">No SOC 2 or ISO 27001 push is needed for this phase. Practical GDPR-aligned steps that fall naturally out of the fixes above: enforce API authorization (item 10), add log redaction for ticket free-text (item 8), add the LLM outbound-call audit trail (above), and document a data-retention policy for the 30-day log window and the append-only SQLite history store, since both may contain caller names and other personal data today.</w:t>
      </w:r>
    </w:p>
    <w:p>
      <w:pPr>
        <w:pStyle w:val="Heading1"/>
        <w:spacing w:after="200" w:before="400"/>
      </w:pPr>
      <w:r>
        <w:t xml:space="preserve">Appendix: File-by-File Reference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7500"/>
      </w:tblGrid>
      <w:tr>
        <w:trPr>
          <w:tblHeader/>
        </w:trPr>
        <w:tc>
          <w:tcPr>
            <w:tcW w:type="dxa" w:w="2300"/>
            <w:shd w:fill="1F3864" w:val="clear"/>
            <w:tcMar>
              <w:top w:type="dxa" w:w="80"/>
              <w:left w:type="dxa" w:w="100"/>
              <w:bottom w:type="dxa" w:w="80"/>
              <w:right w:type="dxa" w:w="100"/>
            </w:tcMar>
            <w:vAlign w:val="center"/>
          </w:tcPr>
          <w:p>
            <w:pPr>
              <w:jc w:val="left"/>
            </w:pPr>
            <w:r>
              <w:rPr>
                <w:b/>
                <w:bCs/>
                <w:color w:val="FFFFFF"/>
                <w:sz w:val="19"/>
                <w:szCs w:val="19"/>
              </w:rPr>
              <w:t xml:space="preserve">File / Area</w:t>
            </w:r>
          </w:p>
        </w:tc>
        <w:tc>
          <w:tcPr>
            <w:tcW w:type="dxa" w:w="7500"/>
            <w:shd w:fill="1F3864" w:val="clear"/>
            <w:tcMar>
              <w:top w:type="dxa" w:w="80"/>
              <w:left w:type="dxa" w:w="100"/>
              <w:bottom w:type="dxa" w:w="80"/>
              <w:right w:type="dxa" w:w="100"/>
            </w:tcMar>
            <w:vAlign w:val="center"/>
          </w:tcPr>
          <w:p>
            <w:pPr>
              <w:jc w:val="left"/>
            </w:pPr>
            <w:r>
              <w:rPr>
                <w:b/>
                <w:bCs/>
                <w:color w:val="FFFFFF"/>
                <w:sz w:val="19"/>
                <w:szCs w:val="19"/>
              </w:rPr>
              <w:t xml:space="preserve">Finding</w:t>
            </w:r>
          </w:p>
        </w:tc>
      </w:tr>
      <w:tr>
        <w:tc>
          <w:tcPr>
            <w:tcW w:type="dxa" w:w="2300"/>
            <w:tcMar>
              <w:top w:type="dxa" w:w="80"/>
              <w:left w:type="dxa" w:w="100"/>
              <w:bottom w:type="dxa" w:w="80"/>
              <w:right w:type="dxa" w:w="100"/>
            </w:tcMar>
            <w:vAlign w:val="center"/>
          </w:tcPr>
          <w:p>
            <w:pPr>
              <w:jc w:val="left"/>
            </w:pPr>
            <w:r>
              <w:rPr>
                <w:b/>
                <w:bCs/>
                <w:color w:val="000000"/>
                <w:sz w:val="19"/>
                <w:szCs w:val="19"/>
              </w:rPr>
              <w:t xml:space="preserve">server.py</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1,688 lines. Bcrypt + parameterized SQL are solid. No route-level auth enforcement (critical). Single-file monolith.</w:t>
            </w:r>
          </w:p>
        </w:tc>
      </w:tr>
      <w:tr>
        <w:tc>
          <w:tcPr>
            <w:tcW w:type="dxa" w:w="2300"/>
            <w:shd w:fill="EEF3F8" w:val="clear"/>
            <w:tcMar>
              <w:top w:type="dxa" w:w="80"/>
              <w:left w:type="dxa" w:w="100"/>
              <w:bottom w:type="dxa" w:w="80"/>
              <w:right w:type="dxa" w:w="100"/>
            </w:tcMar>
            <w:vAlign w:val="center"/>
          </w:tcPr>
          <w:p>
            <w:pPr>
              <w:jc w:val="left"/>
            </w:pPr>
            <w:r>
              <w:rPr>
                <w:b/>
                <w:bCs/>
                <w:color w:val="000000"/>
                <w:sz w:val="19"/>
                <w:szCs w:val="19"/>
              </w:rPr>
              <w:t xml:space="preserve">.github/workflows/ci.yml</w:t>
            </w:r>
          </w:p>
        </w:tc>
        <w:tc>
          <w:tcPr>
            <w:tcW w:type="dxa" w:w="75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Contains two concatenated workflow definitions — invalid YAML, likely partially dead.</w:t>
            </w:r>
          </w:p>
        </w:tc>
      </w:tr>
      <w:tr>
        <w:tc>
          <w:tcPr>
            <w:tcW w:type="dxa" w:w="2300"/>
            <w:tcMar>
              <w:top w:type="dxa" w:w="80"/>
              <w:left w:type="dxa" w:w="100"/>
              <w:bottom w:type="dxa" w:w="80"/>
              <w:right w:type="dxa" w:w="100"/>
            </w:tcMar>
            <w:vAlign w:val="center"/>
          </w:tcPr>
          <w:p>
            <w:pPr>
              <w:jc w:val="left"/>
            </w:pPr>
            <w:r>
              <w:rPr>
                <w:b/>
                <w:bCs/>
                <w:color w:val="000000"/>
                <w:sz w:val="19"/>
                <w:szCs w:val="19"/>
              </w:rPr>
              <w:t xml:space="preserve">tests/test_ctq_engine.py</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Tests ctq_engine_stub.py, not the real PyCTQEngine — misleading coverage signal.</w:t>
            </w:r>
          </w:p>
        </w:tc>
      </w:tr>
      <w:tr>
        <w:tc>
          <w:tcPr>
            <w:tcW w:type="dxa" w:w="2300"/>
            <w:shd w:fill="EEF3F8" w:val="clear"/>
            <w:tcMar>
              <w:top w:type="dxa" w:w="80"/>
              <w:left w:type="dxa" w:w="100"/>
              <w:bottom w:type="dxa" w:w="80"/>
              <w:right w:type="dxa" w:w="100"/>
            </w:tcMar>
            <w:vAlign w:val="center"/>
          </w:tcPr>
          <w:p>
            <w:pPr>
              <w:jc w:val="left"/>
            </w:pPr>
            <w:r>
              <w:rPr>
                <w:b/>
                <w:bCs/>
                <w:color w:val="000000"/>
                <w:sz w:val="19"/>
                <w:szCs w:val="19"/>
              </w:rPr>
              <w:t xml:space="preserve">tests/test_health.py</w:t>
            </w:r>
          </w:p>
        </w:tc>
        <w:tc>
          <w:tcPr>
            <w:tcW w:type="dxa" w:w="75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2 trivial smoke assertions only.</w:t>
            </w:r>
          </w:p>
        </w:tc>
      </w:tr>
      <w:tr>
        <w:tc>
          <w:tcPr>
            <w:tcW w:type="dxa" w:w="2300"/>
            <w:tcMar>
              <w:top w:type="dxa" w:w="80"/>
              <w:left w:type="dxa" w:w="100"/>
              <w:bottom w:type="dxa" w:w="80"/>
              <w:right w:type="dxa" w:w="100"/>
            </w:tcMar>
            <w:vAlign w:val="center"/>
          </w:tcPr>
          <w:p>
            <w:pPr>
              <w:jc w:val="left"/>
            </w:pPr>
            <w:r>
              <w:rPr>
                <w:b/>
                <w:bCs/>
                <w:color w:val="000000"/>
                <w:sz w:val="19"/>
                <w:szCs w:val="19"/>
              </w:rPr>
              <w:t xml:space="preserve">index.html</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No ARIA/accessibility markup found. Inline styles in the export modal. Emoji-based nav icons.</w:t>
            </w:r>
          </w:p>
        </w:tc>
      </w:tr>
      <w:tr>
        <w:tc>
          <w:tcPr>
            <w:tcW w:type="dxa" w:w="2300"/>
            <w:shd w:fill="EEF3F8" w:val="clear"/>
            <w:tcMar>
              <w:top w:type="dxa" w:w="80"/>
              <w:left w:type="dxa" w:w="100"/>
              <w:bottom w:type="dxa" w:w="80"/>
              <w:right w:type="dxa" w:w="100"/>
            </w:tcMar>
            <w:vAlign w:val="center"/>
          </w:tcPr>
          <w:p>
            <w:pPr>
              <w:jc w:val="left"/>
            </w:pPr>
            <w:r>
              <w:rPr>
                <w:b/>
                <w:bCs/>
                <w:color w:val="000000"/>
                <w:sz w:val="19"/>
                <w:szCs w:val="19"/>
              </w:rPr>
              <w:t xml:space="preserve">docs/user-guide.pdf</w:t>
            </w:r>
          </w:p>
        </w:tc>
        <w:tc>
          <w:tcPr>
            <w:tcW w:type="dxa" w:w="75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Referenced in project structure but the file on disk is 0 bytes.</w:t>
            </w:r>
          </w:p>
        </w:tc>
      </w:tr>
      <w:tr>
        <w:tc>
          <w:tcPr>
            <w:tcW w:type="dxa" w:w="2300"/>
            <w:tcMar>
              <w:top w:type="dxa" w:w="80"/>
              <w:left w:type="dxa" w:w="100"/>
              <w:bottom w:type="dxa" w:w="80"/>
              <w:right w:type="dxa" w:w="100"/>
            </w:tcMar>
            <w:vAlign w:val="center"/>
          </w:tcPr>
          <w:p>
            <w:pPr>
              <w:jc w:val="left"/>
            </w:pPr>
            <w:r>
              <w:rPr>
                <w:b/>
                <w:bCs/>
                <w:color w:val="000000"/>
                <w:sz w:val="19"/>
                <w:szCs w:val="19"/>
              </w:rPr>
              <w:t xml:space="preserve">Archtecture.txt</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'Objective Evaluation' pillar has zero criteria mapped (marked reserved) despite being marketed as one of 8 active pillars.</w:t>
            </w:r>
          </w:p>
        </w:tc>
      </w:tr>
      <w:tr>
        <w:tc>
          <w:tcPr>
            <w:tcW w:type="dxa" w:w="2300"/>
            <w:shd w:fill="EEF3F8" w:val="clear"/>
            <w:tcMar>
              <w:top w:type="dxa" w:w="80"/>
              <w:left w:type="dxa" w:w="100"/>
              <w:bottom w:type="dxa" w:w="80"/>
              <w:right w:type="dxa" w:w="100"/>
            </w:tcMar>
            <w:vAlign w:val="center"/>
          </w:tcPr>
          <w:p>
            <w:pPr>
              <w:jc w:val="left"/>
            </w:pPr>
            <w:r>
              <w:rPr>
                <w:b/>
                <w:bCs/>
                <w:color w:val="000000"/>
                <w:sz w:val="19"/>
                <w:szCs w:val="19"/>
              </w:rPr>
              <w:t xml:space="preserve">auth_oidc.py / docs/SSO.md</w:t>
            </w:r>
          </w:p>
        </w:tc>
        <w:tc>
          <w:tcPr>
            <w:tcW w:type="dxa" w:w="75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Explicit placeholder stub — not a working SSO integration yet, despite being documented as guidance.</w:t>
            </w:r>
          </w:p>
        </w:tc>
      </w:tr>
      <w:tr>
        <w:tc>
          <w:tcPr>
            <w:tcW w:type="dxa" w:w="2300"/>
            <w:tcMar>
              <w:top w:type="dxa" w:w="80"/>
              <w:left w:type="dxa" w:w="100"/>
              <w:bottom w:type="dxa" w:w="80"/>
              <w:right w:type="dxa" w:w="100"/>
            </w:tcMar>
            <w:vAlign w:val="center"/>
          </w:tcPr>
          <w:p>
            <w:pPr>
              <w:jc w:val="left"/>
            </w:pPr>
            <w:r>
              <w:rPr>
                <w:b/>
                <w:bCs/>
                <w:color w:val="000000"/>
                <w:sz w:val="19"/>
                <w:szCs w:val="19"/>
              </w:rPr>
              <w:t xml:space="preserve">.env.example</w:t>
            </w:r>
          </w:p>
        </w:tc>
        <w:tc>
          <w:tcPr>
            <w:tcW w:type="dxa" w:w="7500"/>
            <w:tcMar>
              <w:top w:type="dxa" w:w="80"/>
              <w:left w:type="dxa" w:w="100"/>
              <w:bottom w:type="dxa" w:w="80"/>
              <w:right w:type="dxa" w:w="100"/>
            </w:tcMar>
            <w:vAlign w:val="center"/>
          </w:tcPr>
          <w:p>
            <w:pPr>
              <w:jc w:val="left"/>
            </w:pPr>
            <w:r>
              <w:rPr>
                <w:b w:val="false"/>
                <w:bCs w:val="false"/>
                <w:color w:val="000000"/>
                <w:sz w:val="19"/>
                <w:szCs w:val="19"/>
              </w:rPr>
              <w:t xml:space="preserve">ALLOW_DEV_DEFAULTS flag can silently reintroduce the published default admin password if FLASK_ENV=development is ever set in a real deployment.</w:t>
            </w:r>
          </w:p>
        </w:tc>
      </w:tr>
      <w:tr>
        <w:tc>
          <w:tcPr>
            <w:tcW w:type="dxa" w:w="2300"/>
            <w:shd w:fill="EEF3F8" w:val="clear"/>
            <w:tcMar>
              <w:top w:type="dxa" w:w="80"/>
              <w:left w:type="dxa" w:w="100"/>
              <w:bottom w:type="dxa" w:w="80"/>
              <w:right w:type="dxa" w:w="100"/>
            </w:tcMar>
            <w:vAlign w:val="center"/>
          </w:tcPr>
          <w:p>
            <w:pPr>
              <w:jc w:val="left"/>
            </w:pPr>
            <w:r>
              <w:rPr>
                <w:b/>
                <w:bCs/>
                <w:color w:val="000000"/>
                <w:sz w:val="19"/>
                <w:szCs w:val="19"/>
              </w:rPr>
              <w:t xml:space="preserve">CoPilot-Dashboard/</w:t>
            </w:r>
          </w:p>
        </w:tc>
        <w:tc>
          <w:tcPr>
            <w:tcW w:type="dxa" w:w="7500"/>
            <w:shd w:fill="EEF3F8" w:val="clear"/>
            <w:tcMar>
              <w:top w:type="dxa" w:w="80"/>
              <w:left w:type="dxa" w:w="100"/>
              <w:bottom w:type="dxa" w:w="80"/>
              <w:right w:type="dxa" w:w="100"/>
            </w:tcMar>
            <w:vAlign w:val="center"/>
          </w:tcPr>
          <w:p>
            <w:pPr>
              <w:jc w:val="left"/>
            </w:pPr>
            <w:r>
              <w:rPr>
                <w:b w:val="false"/>
                <w:bCs w:val="false"/>
                <w:color w:val="000000"/>
                <w:sz w:val="19"/>
                <w:szCs w:val="19"/>
              </w:rPr>
              <w:t xml:space="preserve">A separate product (own README, LICENSE, design doc, and its own nested .git) lives inside this repo — a repo-hygiene issue worth resolving before opening this codebase to customers/auditors, so product boundaries and licensing are unambiguous.</w:t>
            </w:r>
          </w:p>
        </w:tc>
      </w:tr>
    </w:tbl>
    <w:p>
      <w:pPr>
        <w:spacing w:after="200"/>
      </w:pPr>
    </w:p>
    <w:p>
      <w:pPr>
        <w:spacing w:after="160" w:line="276"/>
      </w:pPr>
      <w:r>
        <w:rPr>
          <w:i/>
          <w:iCs/>
          <w:color w:val="666666"/>
          <w:sz w:val="18"/>
          <w:szCs w:val="18"/>
        </w:rPr>
        <w:t xml:space="preserve">This report reflects a code-level review only; it does not include a live penetration test, a formal accessibility audit tool run, or a load test — each is recommended explicitly above and should be commissioned before the first paying customer.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CTQ Enterprise — Market-Release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300"/>
    </w:pPr>
    <w:rPr>
      <w:rFonts w:ascii="Calibri" w:cs="Calibri" w:eastAsia="Calibri" w:hAnsi="Calibri"/>
      <w:b/>
      <w:bCs/>
      <w:color w:val="0B5394"/>
      <w:sz w:val="25"/>
      <w:szCs w:val="25"/>
    </w:rPr>
  </w:style>
  <w:style w:type="paragraph" w:styleId="Heading3">
    <w:name w:val="Heading 3"/>
    <w:basedOn w:val="Normal"/>
    <w:next w:val="Normal"/>
    <w:qFormat/>
    <w:pPr>
      <w:spacing w:after="100" w:before="22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2026-08-14T18:16:15.458Z</dcterms:created>
  <dcterms:modified xsi:type="dcterms:W3CDTF">2026-08-14T18:16:15.458Z</dcterms:modified>
</cp:coreProperties>
</file>

<file path=docProps/custom.xml><?xml version="1.0" encoding="utf-8"?>
<Properties xmlns="http://schemas.openxmlformats.org/officeDocument/2006/custom-properties" xmlns:vt="http://schemas.openxmlformats.org/officeDocument/2006/docPropsVTypes"/>
</file>