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KPI Performance Report</w:t>
      </w:r>
    </w:p>
    <w:p>
      <w:pPr>
        <w:pStyle w:val="Heading2"/>
      </w:pPr>
      <w:r>
        <w:t>KPI: total_revenue</w:t>
      </w:r>
    </w:p>
    <w:p>
      <w:r>
        <w:t>Total: 5754462752.0</w:t>
      </w:r>
    </w:p>
    <w:p>
      <w:r>
        <w:t>Mean: 14831089.56701031</w:t>
      </w:r>
    </w:p>
    <w:p>
      <w:r>
        <w:t>Std: 5826850.347637057</w:t>
      </w:r>
    </w:p>
    <w:p>
      <w:r>
        <w:t>Latest Variance: 10510432.0</w:t>
      </w:r>
    </w:p>
    <w:p>
      <w:pPr>
        <w:pStyle w:val="Heading2"/>
      </w:pPr>
      <w:r>
        <w:t>KPI: interest_income</w:t>
      </w:r>
    </w:p>
    <w:p>
      <w:r>
        <w:t>Total: 4530785196.0</w:t>
      </w:r>
    </w:p>
    <w:p>
      <w:r>
        <w:t>Mean: 11677281.43298969</w:t>
      </w:r>
    </w:p>
    <w:p>
      <w:r>
        <w:t>Std: 4828788.93238165</w:t>
      </w:r>
    </w:p>
    <w:p>
      <w:r>
        <w:t>Latest Variance: -11554081.0</w:t>
      </w:r>
    </w:p>
    <w:p>
      <w:pPr>
        <w:pStyle w:val="Heading2"/>
      </w:pPr>
      <w:r>
        <w:t>KPI: operating_expenses</w:t>
      </w:r>
    </w:p>
    <w:p>
      <w:r>
        <w:t>Total: 2339558558.0</w:t>
      </w:r>
    </w:p>
    <w:p>
      <w:r>
        <w:t>Mean: 6029790.097938145</w:t>
      </w:r>
    </w:p>
    <w:p>
      <w:r>
        <w:t>Std: 2331597.4172902834</w:t>
      </w:r>
    </w:p>
    <w:p>
      <w:r>
        <w:t>Latest Variance: -2580382.0</w:t>
      </w:r>
    </w:p>
    <w:p>
      <w:pPr>
        <w:pStyle w:val="Heading2"/>
      </w:pPr>
      <w:r>
        <w:t>AI Insights</w:t>
      </w:r>
    </w:p>
    <w:p>
      <w:r>
        <w:t>```json</w:t>
        <w:br/>
        <w:t>{</w:t>
        <w:br/>
        <w:t xml:space="preserve">  "executive_summary": "The company's total revenue is approximately $5.75 billion with a mean of $14.83 million and a standard deviation of $5.83 million. The interest income is around $4.53 billion with a mean of $11.68 million and a standard deviation of $4.83 million. The operating expenses total about $2.34 billion with a mean of $6.03 million and a standard deviation of $2.33 million.",</w:t>
        <w:br/>
        <w:t xml:space="preserve">  "key_risks": [</w:t>
        <w:br/>
        <w:t xml:space="preserve">    "Fluctuations in revenue and interest income may impact the company's financial stability",</w:t>
        <w:br/>
        <w:t xml:space="preserve">    "Operating expenses may increase, affecting the company's profitability"</w:t>
        <w:br/>
        <w:t xml:space="preserve">  ],</w:t>
        <w:br/>
        <w:t xml:space="preserve">  "opportunities": [</w:t>
        <w:br/>
        <w:t xml:space="preserve">    "Potential for revenue growth through expansion into new markets or product lines",</w:t>
        <w:br/>
        <w:t xml:space="preserve">    "Opportunities to reduce operating expenses and increase efficiency"</w:t>
        <w:br/>
        <w:t xml:space="preserve">  ],</w:t>
        <w:br/>
        <w:t xml:space="preserve">  "forecast_outlook": "The forecasted revenue, interest income, and operating expenses for the next six months indicate a relatively stable financial performance, with some fluctuations in revenue and interest income.",</w:t>
        <w:br/>
        <w:t xml:space="preserve">  "strategic_recommendations": [</w:t>
        <w:br/>
        <w:t xml:space="preserve">    "Monitor and manage revenue and interest income closely to mitigate potential risks",</w:t>
        <w:br/>
        <w:t xml:space="preserve">    "Implement cost-saving measures to reduce operating expenses and improve profitability"</w:t>
        <w:br/>
        <w:t xml:space="preserve">  ]</w:t>
        <w:br/>
        <w:t>}</w:t>
        <w:br/>
        <w:t>```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