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KPI Performance Report</w:t>
      </w:r>
    </w:p>
    <w:p>
      <w:pPr>
        <w:pStyle w:val="Heading2"/>
      </w:pPr>
      <w:r>
        <w:t>KPI: total_revenue</w:t>
      </w:r>
    </w:p>
    <w:p>
      <w:r>
        <w:t>Total: 14959630969.0</w:t>
      </w:r>
    </w:p>
    <w:p>
      <w:r>
        <w:t>Mean: 14959630.969</w:t>
      </w:r>
    </w:p>
    <w:p>
      <w:r>
        <w:t>Std: 5745818.481914059</w:t>
      </w:r>
    </w:p>
    <w:p>
      <w:r>
        <w:t>Latest Variance: 9407287.0</w:t>
      </w:r>
    </w:p>
    <w:p>
      <w:pPr>
        <w:pStyle w:val="Heading2"/>
      </w:pPr>
      <w:r>
        <w:t>KPI: interest_income</w:t>
      </w:r>
    </w:p>
    <w:p>
      <w:r>
        <w:t>Total: 11585925805.0</w:t>
      </w:r>
    </w:p>
    <w:p>
      <w:r>
        <w:t>Mean: 11585925.805</w:t>
      </w:r>
    </w:p>
    <w:p>
      <w:r>
        <w:t>Std: 4855995.198561463</w:t>
      </w:r>
    </w:p>
    <w:p>
      <w:r>
        <w:t>Latest Variance: -190458.0</w:t>
      </w:r>
    </w:p>
    <w:p>
      <w:pPr>
        <w:pStyle w:val="Heading2"/>
      </w:pPr>
      <w:r>
        <w:t>AI Insights</w:t>
      </w:r>
    </w:p>
    <w:p>
      <w:r>
        <w:t>```</w:t>
        <w:br/>
        <w:t>{</w:t>
        <w:br/>
        <w:t xml:space="preserve">  "executive_summary": "The total revenue is approximately 14.96 billion with a mean of 14.96 million and a standard deviation of 5.75 million. The interest income is approximately 11.59 billion with a mean of 11.59 million and a standard deviation of 4.86 million.",</w:t>
        <w:br/>
        <w:t xml:space="preserve">  "key_risks": [</w:t>
        <w:br/>
        <w:t xml:space="preserve">    "Fluctuations in revenue and interest income due to market volatility",</w:t>
        <w:br/>
        <w:t xml:space="preserve">    "Potential decrease in revenue and interest income due to economic downturn"</w:t>
        <w:br/>
        <w:t xml:space="preserve">  ],</w:t>
        <w:br/>
        <w:t xml:space="preserve">  "opportunities": [</w:t>
        <w:br/>
        <w:t xml:space="preserve">    "Increase in revenue and interest income due to growth in market demand",</w:t>
        <w:br/>
        <w:t xml:space="preserve">    "Diversification of revenue streams to reduce dependence on a single market"</w:t>
        <w:br/>
        <w:t xml:space="preserve">  ],</w:t>
        <w:br/>
        <w:t xml:space="preserve">  "forecast_outlook": "The forecasted revenue and interest income for the next six months show a steady increase, with revenue ranging from 14.85 billion to 15.66 billion and interest income ranging from 10.49 billion to 11.53 billion.",</w:t>
        <w:br/>
        <w:t xml:space="preserve">  "strategic_recommendations": [</w:t>
        <w:br/>
        <w:t xml:space="preserve">    "Diversify revenue streams to reduce dependence on a single market",</w:t>
        <w:br/>
        <w:t xml:space="preserve">    "Monitor market trends and adjust business strategies accordingly to mitigate potential risks"</w:t>
        <w:br/>
        <w:t xml:space="preserve">  ]</w:t>
        <w:br/>
        <w:t>}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