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B07A" w14:textId="77777777" w:rsidR="000A6376" w:rsidRDefault="000A6376" w:rsidP="000A6376">
      <w:r>
        <w:t>EMERGENCY PROTOCOL BRIEF: HKT-2026-003</w:t>
      </w:r>
    </w:p>
    <w:p w14:paraId="4FD22A5C" w14:textId="77777777" w:rsidR="000A6376" w:rsidRDefault="000A6376" w:rsidP="000A6376">
      <w:r>
        <w:t>Title: Emergency Response Assessment in Complex Metabolic Syndromes</w:t>
      </w:r>
    </w:p>
    <w:p w14:paraId="4CAFF6CB" w14:textId="77777777" w:rsidR="000A6376" w:rsidRDefault="000A6376" w:rsidP="000A6376">
      <w:r>
        <w:t>Priority Classification: HIGH — Requires Expedited IRB Review</w:t>
      </w:r>
    </w:p>
    <w:p w14:paraId="159BAEC1" w14:textId="77777777" w:rsidR="000A6376" w:rsidRDefault="000A6376" w:rsidP="000A6376">
      <w:r>
        <w:t xml:space="preserve">Prepared by: Clinical Operations, </w:t>
      </w:r>
      <w:proofErr w:type="spellStart"/>
      <w:r>
        <w:t>Agilisium</w:t>
      </w:r>
      <w:proofErr w:type="spellEnd"/>
      <w:r>
        <w:t xml:space="preserve"> Life Sciences</w:t>
      </w:r>
    </w:p>
    <w:p w14:paraId="108BCFE6" w14:textId="77777777" w:rsidR="000A6376" w:rsidRDefault="000A6376" w:rsidP="000A6376"/>
    <w:p w14:paraId="5EB35D5B" w14:textId="77777777" w:rsidR="000A6376" w:rsidRDefault="000A6376" w:rsidP="000A6376">
      <w:r>
        <w:t>BACKGROUND</w:t>
      </w:r>
    </w:p>
    <w:p w14:paraId="22114BBF" w14:textId="77777777" w:rsidR="000A6376" w:rsidRDefault="000A6376" w:rsidP="000A6376"/>
    <w:p w14:paraId="0C939024" w14:textId="77777777" w:rsidR="000A6376" w:rsidRDefault="000A6376" w:rsidP="000A6376">
      <w:r>
        <w:t xml:space="preserve">Metabolic syndrome represents a constellation of interrelated physiological abnormalities that dramatically increase cardiovascular risk. The clinical presentation varies widely, encompassing insulin resistance, </w:t>
      </w:r>
      <w:proofErr w:type="spellStart"/>
      <w:r>
        <w:t>dyslipidemia</w:t>
      </w:r>
      <w:proofErr w:type="spellEnd"/>
      <w:r>
        <w:t>, central adiposity, and chronic inflammatory states. This protocol establishes a rapid-deployment observational framework for evaluating treatment response in patients presenting with acute metabolic decompensation.</w:t>
      </w:r>
    </w:p>
    <w:p w14:paraId="140D7FEF" w14:textId="77777777" w:rsidR="000A6376" w:rsidRDefault="000A6376" w:rsidP="000A6376"/>
    <w:p w14:paraId="64F1B8E8" w14:textId="77777777" w:rsidR="000A6376" w:rsidRDefault="000A6376" w:rsidP="000A6376">
      <w:r>
        <w:t>Randomization will be performed using a validated interactive web response system with a computer-generated randomization schedule prepared by an independent biostatistician who is not otherwise involved in the conduct or analysis of the study. The randomization scheme employs permuted blocks of varying size to prevent prediction of future treatment assignments while maintaining approximate balance across treatment groups within each stratification factor combination. Stratification factors include study site, baseline disease severity classification, and prior treatment history as defined in the statistical analysis plan.</w:t>
      </w:r>
    </w:p>
    <w:p w14:paraId="284F8841" w14:textId="77777777" w:rsidR="000A6376" w:rsidRDefault="000A6376" w:rsidP="000A6376"/>
    <w:p w14:paraId="0E2AF5A4" w14:textId="77777777" w:rsidR="000A6376" w:rsidRDefault="000A6376" w:rsidP="000A6376">
      <w:r>
        <w:t xml:space="preserve">Site initiation visits will be conducted by qualified clinical research associates prior to the </w:t>
      </w:r>
      <w:proofErr w:type="spellStart"/>
      <w:r>
        <w:t>enrollment</w:t>
      </w:r>
      <w:proofErr w:type="spellEnd"/>
      <w:r>
        <w:t xml:space="preserve"> of the first subject at each participating institution. The initiation visit agenda includes comprehensive protocol training for all site personnel involved in study conduct, review of informed consent procedures and documentation requirements, verification of regulatory document completeness, confirmation of investigational product storage and accountability procedures, and hands-on training for all study-specific equipment and electronic data capture systems. Sites must demonstrate competency in all critical study procedures before receiving authorization to begin screening activities.</w:t>
      </w:r>
    </w:p>
    <w:p w14:paraId="211E47C2" w14:textId="77777777" w:rsidR="000A6376" w:rsidRDefault="000A6376" w:rsidP="000A6376"/>
    <w:p w14:paraId="21B39347" w14:textId="77777777" w:rsidR="000A6376" w:rsidRDefault="000A6376" w:rsidP="000A6376">
      <w:r>
        <w:t>A comprehensive literature review conducted using systematic search methodology across PubMed, EMBASE, the Cochrane Library, and ClinicalTrials.gov identified 847 potentially relevant publications, of which 127 met pre-specified inclusion criteria for detailed analysis. The resulting evidence synthesis revealed consistent support for the proposed mechanism of action, though the quality of evidence varies substantially across studies, with particular limitations in the domains of allocation concealment, blinding adequacy, and completeness of outcome reporting. These methodological limitations in the existing evidence base provide strong justification for the rigorous controlled trial design proposed in this protocol.</w:t>
      </w:r>
    </w:p>
    <w:p w14:paraId="0125CE4F" w14:textId="77777777" w:rsidR="000A6376" w:rsidRDefault="000A6376" w:rsidP="000A6376"/>
    <w:p w14:paraId="22685311" w14:textId="77777777" w:rsidR="000A6376" w:rsidRDefault="000A6376" w:rsidP="000A6376">
      <w:r>
        <w:lastRenderedPageBreak/>
        <w:t>Sample size calculations are based on the primary endpoint analysis assuming a two-sided test at the 0.05 significance level with 80 percent statistical power to detect a clinically meaningful difference between the investigational and control arms. The assumed effect size is derived from the pooled estimate of prior Phase II studies in similar populations, adjusted for expected variability based on the range of baseline disease severity in the target population. An additional 15 percent inflation factor has been applied to account for anticipated dropout rates based on historical data from comparable clinical programs in this therapeutic area.</w:t>
      </w:r>
    </w:p>
    <w:p w14:paraId="174766A8" w14:textId="77777777" w:rsidR="000A6376" w:rsidRDefault="000A6376" w:rsidP="000A6376"/>
    <w:p w14:paraId="2939F1D8" w14:textId="77777777" w:rsidR="000A6376" w:rsidRDefault="000A6376" w:rsidP="000A6376">
      <w:r>
        <w:t>Quality management activities are governed by the sponsor's Integrated Quality Management Plan, which implements a risk-based approach to clinical trial oversight consistent with ICH E6(R2) Section 5.0 requirements. The plan identifies critical data and processes, establishes risk indicators and thresholds for key quality parameters, and defines escalation pathways for quality events that may impact subject safety or data integrity. Centralized statistical monitoring is performed on an ongoing basis using validated algorithms that detect unusual data patterns, protocol deviations, and potential fraud indicators across all participating sites simultaneously.</w:t>
      </w:r>
    </w:p>
    <w:p w14:paraId="2EFFAD25" w14:textId="77777777" w:rsidR="000A6376" w:rsidRDefault="000A6376" w:rsidP="000A6376"/>
    <w:p w14:paraId="21A23315" w14:textId="77777777" w:rsidR="000A6376" w:rsidRDefault="000A6376" w:rsidP="000A6376">
      <w:r>
        <w:t xml:space="preserve">Clinical monitoring activities follow a risk-proportionate approach with a combination of on-site monitoring visits, remote monitoring activities, and centralized data review. On-site monitoring visits occur at minimum quarterly frequency, with additional visits triggered by </w:t>
      </w:r>
      <w:proofErr w:type="spellStart"/>
      <w:r>
        <w:t>enrollment</w:t>
      </w:r>
      <w:proofErr w:type="spellEnd"/>
      <w:r>
        <w:t xml:space="preserve"> milestones, safety signals, or quality indicators exceeding pre-defined thresholds. Source document verification is performed for all primary endpoint data, all serious adverse events, and a random sample of secondary endpoint data sufficient to provide 95 percent confidence in overall data accuracy within a three percent margin of error.</w:t>
      </w:r>
    </w:p>
    <w:p w14:paraId="668E6529" w14:textId="77777777" w:rsidR="000A6376" w:rsidRDefault="000A6376" w:rsidP="000A6376"/>
    <w:p w14:paraId="7FCBC4BF" w14:textId="77777777" w:rsidR="000A6376" w:rsidRDefault="000A6376" w:rsidP="000A6376"/>
    <w:p w14:paraId="4747DCA8" w14:textId="77777777" w:rsidR="000A6376" w:rsidRDefault="000A6376" w:rsidP="000A6376">
      <w:r>
        <w:t>DATA SELECTION PARAMETERS</w:t>
      </w:r>
    </w:p>
    <w:p w14:paraId="2AE8E9E1" w14:textId="77777777" w:rsidR="000A6376" w:rsidRDefault="000A6376" w:rsidP="000A6376"/>
    <w:p w14:paraId="44613634" w14:textId="77777777" w:rsidR="000A6376" w:rsidRDefault="000A6376" w:rsidP="000A6376">
      <w:r>
        <w:t>ACCEPTANCE TRIGGERS (INCLUSION CRITERIA):</w:t>
      </w:r>
    </w:p>
    <w:p w14:paraId="60693E15" w14:textId="77777777" w:rsidR="000A6376" w:rsidRDefault="000A6376" w:rsidP="000A6376">
      <w:r>
        <w:t>- Trial restricts age to rule out geriatric frailty syndromes that confound metabolic assessments. Patient Age must be strictly under 50 years at time of screening.</w:t>
      </w:r>
    </w:p>
    <w:p w14:paraId="407F99A0" w14:textId="77777777" w:rsidR="000A6376" w:rsidRDefault="000A6376" w:rsidP="000A6376">
      <w:r>
        <w:t>- The hospital Admission Type must be strictly "Urgent" — only urgent presentations capture the acute decompensation phenotype of interest.</w:t>
      </w:r>
    </w:p>
    <w:p w14:paraId="7A355B79" w14:textId="77777777" w:rsidR="000A6376" w:rsidRDefault="000A6376" w:rsidP="000A6376">
      <w:r>
        <w:t>- Clinical Diagnosis: Patient must be presenting with a complex metabolic disorder that heavily impacts both body weight regulation and blood sugar homeostasis. This is the primary diagnostic criterion and must be clearly documented in the attending physician's assessment notes.</w:t>
      </w:r>
    </w:p>
    <w:p w14:paraId="6C0334AE" w14:textId="77777777" w:rsidR="000A6376" w:rsidRDefault="000A6376" w:rsidP="000A6376"/>
    <w:p w14:paraId="5208DDA3" w14:textId="77777777" w:rsidR="000A6376" w:rsidRDefault="000A6376" w:rsidP="000A6376">
      <w:r>
        <w:t>REJECTION TRIGGERS (EXCLUSION CRITERIA):</w:t>
      </w:r>
    </w:p>
    <w:p w14:paraId="392B9BBE" w14:textId="77777777" w:rsidR="000A6376" w:rsidRDefault="000A6376" w:rsidP="000A6376">
      <w:r>
        <w:t xml:space="preserve">- The patient cannot be clinically stable for purposes of this trial. Those with Test Results marked as "Normal" across all metabolic panels are rejected from the data pull, as they do not represent the </w:t>
      </w:r>
      <w:r>
        <w:lastRenderedPageBreak/>
        <w:t>target population of active metabolic decompensation. Manual override by the principal investigator is required for any borderline cases.</w:t>
      </w:r>
    </w:p>
    <w:p w14:paraId="5902A695" w14:textId="77777777" w:rsidR="000A6376" w:rsidRDefault="000A6376" w:rsidP="000A6376"/>
    <w:p w14:paraId="55BD84CF" w14:textId="77777777" w:rsidR="000A6376" w:rsidRDefault="000A6376" w:rsidP="000A6376"/>
    <w:p w14:paraId="629CDB81" w14:textId="77777777" w:rsidR="000A6376" w:rsidRDefault="000A6376" w:rsidP="000A6376">
      <w:r>
        <w:t>Data integrity and subject privacy are ensured through a multi-layered security architecture that includes AES-256 encryption for data at rest, TLS 1.3 for data in transit, and role-based access controls implementing the principle of least privilege across all electronic data capture systems. The electronic case report form system has been validated in accordance with 21 CFR Part 11 requirements for electronic records and electronic signatures, with complete audit trail functionality that captures all data creation, modification, and deletion events with timestamps and user identification. Regular vulnerability assessments and penetration testing are conducted by an independent cybersecurity firm to ensure ongoing compliance with HIPAA Security Rule administrative, physical, and technical safeguard requirements.</w:t>
      </w:r>
    </w:p>
    <w:p w14:paraId="369DC9B1" w14:textId="77777777" w:rsidR="000A6376" w:rsidRDefault="000A6376" w:rsidP="000A6376"/>
    <w:p w14:paraId="5E4F5F5E" w14:textId="77777777" w:rsidR="000A6376" w:rsidRDefault="000A6376" w:rsidP="000A6376">
      <w:r>
        <w:t>A comprehensive literature review conducted using systematic search methodology across PubMed, EMBASE, the Cochrane Library, and ClinicalTrials.gov identified 847 potentially relevant publications, of which 127 met pre-specified inclusion criteria for detailed analysis. The resulting evidence synthesis revealed consistent support for the proposed mechanism of action, though the quality of evidence varies substantially across studies, with particular limitations in the domains of allocation concealment, blinding adequacy, and completeness of outcome reporting. These methodological limitations in the existing evidence base provide strong justification for the rigorous controlled trial design proposed in this protocol.</w:t>
      </w:r>
    </w:p>
    <w:p w14:paraId="260A91B6" w14:textId="77777777" w:rsidR="000A6376" w:rsidRDefault="000A6376" w:rsidP="000A6376"/>
    <w:p w14:paraId="7E84B08E" w14:textId="77777777" w:rsidR="000A6376" w:rsidRDefault="000A6376" w:rsidP="000A6376">
      <w:r>
        <w:t>The biostatistical analysis plan specifies a modified intention-to-treat population as the primary analysis set, defined as all randomized subjects who receive at least one dose of study medication and have at least one post-baseline efficacy assessment. Sensitivity analyses will be conducted using the per-protocol population, which excludes subjects with major protocol deviations that could materially impact the interpretability of their efficacy data. Missing data will be handled using a pattern mixture model framework with multiple imputation under the missing-at-random assumption, with sensitivity analyses conducted under missing-not-at-random scenarios using tipping point analyses to assess the robustness of primary conclusions.</w:t>
      </w:r>
    </w:p>
    <w:p w14:paraId="437635B1" w14:textId="77777777" w:rsidR="000A6376" w:rsidRDefault="000A6376" w:rsidP="000A6376"/>
    <w:p w14:paraId="08683C25" w14:textId="28F695C1" w:rsidR="00417BBC" w:rsidRDefault="000A6376" w:rsidP="000A6376">
      <w:r>
        <w:t>The sponsor maintains a comprehensive pharmacovigilance system in accordance with European Union Good Pharmacovigilance Practices Module VI and the International Conference on Harmonisation E2B(R3) electronic transmission standards for individual case safety reports. All serious adverse events must be reported to the sponsor's global safety database within 24 hours of the investigator becoming aware of the event, regardless of the investigator's assessment of causality. Suspected unexpected serious adverse reactions require expedited reporting to all relevant regulatory authorities within the timelines specified by applicable national legislation, which in most jurisdictions requires initial notification within 7 calendar days for fatal or life-threatening events and 15 calendar days for all other serious unexpected reactions.</w:t>
      </w:r>
    </w:p>
    <w:sectPr w:rsidR="00417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315"/>
    <w:rsid w:val="000A6376"/>
    <w:rsid w:val="000B054D"/>
    <w:rsid w:val="001668AF"/>
    <w:rsid w:val="00417BBC"/>
    <w:rsid w:val="00474AC4"/>
    <w:rsid w:val="00A77CD4"/>
    <w:rsid w:val="00D91FEA"/>
    <w:rsid w:val="00DE0376"/>
    <w:rsid w:val="00FD4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D66F"/>
  <w15:chartTrackingRefBased/>
  <w15:docId w15:val="{54D5E3E7-EFD5-43CF-9B05-D24E7771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315"/>
    <w:rPr>
      <w:rFonts w:eastAsiaTheme="majorEastAsia" w:cstheme="majorBidi"/>
      <w:color w:val="272727" w:themeColor="text1" w:themeTint="D8"/>
    </w:rPr>
  </w:style>
  <w:style w:type="paragraph" w:styleId="Title">
    <w:name w:val="Title"/>
    <w:basedOn w:val="Normal"/>
    <w:next w:val="Normal"/>
    <w:link w:val="TitleChar"/>
    <w:uiPriority w:val="10"/>
    <w:qFormat/>
    <w:rsid w:val="00FD4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315"/>
    <w:pPr>
      <w:spacing w:before="160"/>
      <w:jc w:val="center"/>
    </w:pPr>
    <w:rPr>
      <w:i/>
      <w:iCs/>
      <w:color w:val="404040" w:themeColor="text1" w:themeTint="BF"/>
    </w:rPr>
  </w:style>
  <w:style w:type="character" w:customStyle="1" w:styleId="QuoteChar">
    <w:name w:val="Quote Char"/>
    <w:basedOn w:val="DefaultParagraphFont"/>
    <w:link w:val="Quote"/>
    <w:uiPriority w:val="29"/>
    <w:rsid w:val="00FD4315"/>
    <w:rPr>
      <w:i/>
      <w:iCs/>
      <w:color w:val="404040" w:themeColor="text1" w:themeTint="BF"/>
    </w:rPr>
  </w:style>
  <w:style w:type="paragraph" w:styleId="ListParagraph">
    <w:name w:val="List Paragraph"/>
    <w:basedOn w:val="Normal"/>
    <w:uiPriority w:val="34"/>
    <w:qFormat/>
    <w:rsid w:val="00FD4315"/>
    <w:pPr>
      <w:ind w:left="720"/>
      <w:contextualSpacing/>
    </w:pPr>
  </w:style>
  <w:style w:type="character" w:styleId="IntenseEmphasis">
    <w:name w:val="Intense Emphasis"/>
    <w:basedOn w:val="DefaultParagraphFont"/>
    <w:uiPriority w:val="21"/>
    <w:qFormat/>
    <w:rsid w:val="00FD4315"/>
    <w:rPr>
      <w:i/>
      <w:iCs/>
      <w:color w:val="2F5496" w:themeColor="accent1" w:themeShade="BF"/>
    </w:rPr>
  </w:style>
  <w:style w:type="paragraph" w:styleId="IntenseQuote">
    <w:name w:val="Intense Quote"/>
    <w:basedOn w:val="Normal"/>
    <w:next w:val="Normal"/>
    <w:link w:val="IntenseQuoteChar"/>
    <w:uiPriority w:val="30"/>
    <w:qFormat/>
    <w:rsid w:val="00FD4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315"/>
    <w:rPr>
      <w:i/>
      <w:iCs/>
      <w:color w:val="2F5496" w:themeColor="accent1" w:themeShade="BF"/>
    </w:rPr>
  </w:style>
  <w:style w:type="character" w:styleId="IntenseReference">
    <w:name w:val="Intense Reference"/>
    <w:basedOn w:val="DefaultParagraphFont"/>
    <w:uiPriority w:val="32"/>
    <w:qFormat/>
    <w:rsid w:val="00FD43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1323</Words>
  <Characters>7547</Characters>
  <Application>Microsoft Office Word</Application>
  <DocSecurity>0</DocSecurity>
  <Lines>62</Lines>
  <Paragraphs>17</Paragraphs>
  <ScaleCrop>false</ScaleCrop>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Raja</dc:creator>
  <cp:keywords/>
  <dc:description/>
  <cp:lastModifiedBy>Yogeshwar Raja</cp:lastModifiedBy>
  <cp:revision>3</cp:revision>
  <dcterms:created xsi:type="dcterms:W3CDTF">2026-03-13T09:29:00Z</dcterms:created>
  <dcterms:modified xsi:type="dcterms:W3CDTF">2026-03-13T12:21:00Z</dcterms:modified>
</cp:coreProperties>
</file>