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5D39" w14:textId="77777777" w:rsidR="00FD645B" w:rsidRDefault="00FD645B" w:rsidP="00FD645B">
      <w:r>
        <w:t>OBSERVATIONAL COHORT PROPOSAL #CVX-2026-004</w:t>
      </w:r>
    </w:p>
    <w:p w14:paraId="773F3E41" w14:textId="77777777" w:rsidR="00FD645B" w:rsidRDefault="00FD645B" w:rsidP="00FD645B">
      <w:r>
        <w:t>Project Title: Long-term NSAID Tolerance and Gastrointestinal Outcomes in Senior Male Populations</w:t>
      </w:r>
    </w:p>
    <w:p w14:paraId="504428D7" w14:textId="77777777" w:rsidR="00FD645B" w:rsidRDefault="00FD645B" w:rsidP="00FD645B">
      <w:r>
        <w:t xml:space="preserve">Submitted to: </w:t>
      </w:r>
      <w:proofErr w:type="spellStart"/>
      <w:r>
        <w:t>Agilisium</w:t>
      </w:r>
      <w:proofErr w:type="spellEnd"/>
      <w:r>
        <w:t xml:space="preserve"> Institutional Review Board</w:t>
      </w:r>
    </w:p>
    <w:p w14:paraId="61DFA93A" w14:textId="77777777" w:rsidR="00FD645B" w:rsidRDefault="00FD645B" w:rsidP="00FD645B">
      <w:r>
        <w:t>Version: 2.1 (Revised March 2026)</w:t>
      </w:r>
    </w:p>
    <w:p w14:paraId="5C6C1034" w14:textId="77777777" w:rsidR="00FD645B" w:rsidRDefault="00FD645B" w:rsidP="00FD645B"/>
    <w:p w14:paraId="38B67794" w14:textId="77777777" w:rsidR="00FD645B" w:rsidRDefault="00FD645B" w:rsidP="00FD645B">
      <w:r>
        <w:t>1. SCIENTIFIC RATIONALE</w:t>
      </w:r>
    </w:p>
    <w:p w14:paraId="4B1636B1" w14:textId="77777777" w:rsidR="00FD645B" w:rsidRDefault="00FD645B" w:rsidP="00FD645B"/>
    <w:p w14:paraId="2E3CFA8B" w14:textId="77777777" w:rsidR="00FD645B" w:rsidRDefault="00FD645B" w:rsidP="00FD645B">
      <w:r>
        <w:t>Non-steroidal anti-inflammatory drugs remain among the most widely prescribed medication classes globally, with particular prevalence in geriatric populations managing chronic musculoskeletal pain and inflammatory conditions. Despite their therapeutic ubiquity, the long-term gastrointestinal safety profile of chronic NSAID use in males over 75 remains poorly characterized in real-world evidence databases. This observational cohort study proposes to leverage a large, multi-institutional electronic health record dataset to characterize GI event rates in elderly males receiving chronic NSAID therapy.</w:t>
      </w:r>
    </w:p>
    <w:p w14:paraId="746482F4" w14:textId="77777777" w:rsidR="00FD645B" w:rsidRDefault="00FD645B" w:rsidP="00FD645B"/>
    <w:p w14:paraId="4F00D063" w14:textId="77777777" w:rsidR="00FD645B" w:rsidRDefault="00FD645B" w:rsidP="00FD645B">
      <w:r>
        <w:t>The sponsor maintains a comprehensive pharmacovigilance system in accordance with European Union Good Pharmacovigilance Practices Module VI and the International Conference on Harmonisation E2B(R3) electronic transmission standards for individual case safety reports. All serious adverse events must be reported to the sponsor's global safety database within 24 hours of the investigator becoming aware of the event, regardless of the investigator's assessment of causality. Suspected unexpected serious adverse reactions require expedited reporting to all relevant regulatory authorities within the timelines specified by applicable national legislation, which in most jurisdictions requires initial notification within 7 calendar days for fatal or life-threatening events and 15 calendar days for all other serious unexpected reactions.</w:t>
      </w:r>
    </w:p>
    <w:p w14:paraId="6D4748A5" w14:textId="77777777" w:rsidR="00FD645B" w:rsidRDefault="00FD645B" w:rsidP="00FD645B"/>
    <w:p w14:paraId="62BAC43F" w14:textId="77777777" w:rsidR="00FD645B" w:rsidRDefault="00FD645B" w:rsidP="00FD645B">
      <w:r>
        <w:t>Sample size calculations are based on the primary endpoint analysis assuming a two-sided test at the 0.05 significance level with 80 percent statistical power to detect a clinically meaningful difference between the investigational and control arms. The assumed effect size is derived from the pooled estimate of prior Phase II studies in similar populations, adjusted for expected variability based on the range of baseline disease severity in the target population. An additional 15 percent inflation factor has been applied to account for anticipated dropout rates based on historical data from comparable clinical programs in this therapeutic area.</w:t>
      </w:r>
    </w:p>
    <w:p w14:paraId="32078AB7" w14:textId="77777777" w:rsidR="00FD645B" w:rsidRDefault="00FD645B" w:rsidP="00FD645B"/>
    <w:p w14:paraId="6661628C" w14:textId="77777777" w:rsidR="00FD645B" w:rsidRDefault="00FD645B" w:rsidP="00FD645B">
      <w:r>
        <w:t>Quality management activities are governed by the sponsor's Integrated Quality Management Plan, which implements a risk-based approach to clinical trial oversight consistent with ICH E6(R2) Section 5.0 requirements. The plan identifies critical data and processes, establishes risk indicators and thresholds for key quality parameters, and defines escalation pathways for quality events that may impact subject safety or data integrity. Centralized statistical monitoring is performed on an ongoing basis using validated algorithms that detect unusual data patterns, protocol deviations, and potential fraud indicators across all participating sites simultaneously.</w:t>
      </w:r>
    </w:p>
    <w:p w14:paraId="410E8D6B" w14:textId="77777777" w:rsidR="00FD645B" w:rsidRDefault="00FD645B" w:rsidP="00FD645B"/>
    <w:p w14:paraId="665425AC" w14:textId="77777777" w:rsidR="00FD645B" w:rsidRDefault="00FD645B" w:rsidP="00FD645B">
      <w:r>
        <w:t xml:space="preserve">Site initiation visits will be conducted by qualified clinical research associates prior to the </w:t>
      </w:r>
      <w:proofErr w:type="spellStart"/>
      <w:r>
        <w:t>enrollment</w:t>
      </w:r>
      <w:proofErr w:type="spellEnd"/>
      <w:r>
        <w:t xml:space="preserve"> of the first subject at each participating institution. The initiation visit agenda includes comprehensive protocol training for all site personnel involved in study conduct, review of informed consent procedures and documentation requirements, verification of regulatory document completeness, confirmation of investigational product storage and accountability procedures, and hands-on training for all study-specific equipment and electronic data capture systems. Sites must demonstrate competency in all critical study procedures before receiving authorization to begin screening activities.</w:t>
      </w:r>
    </w:p>
    <w:p w14:paraId="45363597" w14:textId="77777777" w:rsidR="00FD645B" w:rsidRDefault="00FD645B" w:rsidP="00FD645B"/>
    <w:p w14:paraId="4BB2B03B" w14:textId="77777777" w:rsidR="00FD645B" w:rsidRDefault="00FD645B" w:rsidP="00FD645B">
      <w:r>
        <w:t>Randomization will be performed using a validated interactive web response system with a computer-generated randomization schedule prepared by an independent biostatistician who is not otherwise involved in the conduct or analysis of the study. The randomization scheme employs permuted blocks of varying size to prevent prediction of future treatment assignments while maintaining approximate balance across treatment groups within each stratification factor combination. Stratification factors include study site, baseline disease severity classification, and prior treatment history as defined in the statistical analysis plan.</w:t>
      </w:r>
    </w:p>
    <w:p w14:paraId="211FA120" w14:textId="77777777" w:rsidR="00FD645B" w:rsidRDefault="00FD645B" w:rsidP="00FD645B"/>
    <w:p w14:paraId="55750C5C" w14:textId="77777777" w:rsidR="00FD645B" w:rsidRDefault="00FD645B" w:rsidP="00FD645B"/>
    <w:p w14:paraId="0668070F" w14:textId="77777777" w:rsidR="00FD645B" w:rsidRDefault="00FD645B" w:rsidP="00FD645B">
      <w:r>
        <w:t>3.0 COHORT PARAMETERS (ELIGIBILITY)</w:t>
      </w:r>
    </w:p>
    <w:p w14:paraId="5FE3718F" w14:textId="77777777" w:rsidR="00FD645B" w:rsidRDefault="00FD645B" w:rsidP="00FD645B"/>
    <w:p w14:paraId="3388741C" w14:textId="77777777" w:rsidR="00FD645B" w:rsidRDefault="00FD645B" w:rsidP="00FD645B">
      <w:r>
        <w:t>This study explicitly targets asymptomatic elderly males on specific pain management routines. Any patient failing the below parameters is inherently excluded from the data pool. No additional explicit exclusionary rules are required beyond the inclusion criteria themselves.</w:t>
      </w:r>
    </w:p>
    <w:p w14:paraId="14DB2500" w14:textId="77777777" w:rsidR="00FD645B" w:rsidRDefault="00FD645B" w:rsidP="00FD645B"/>
    <w:p w14:paraId="362727C6" w14:textId="77777777" w:rsidR="00FD645B" w:rsidRDefault="00FD645B" w:rsidP="00FD645B">
      <w:r>
        <w:t>Candidate must meet ALL 4 conditions exactly:</w:t>
      </w:r>
    </w:p>
    <w:p w14:paraId="172DA84E" w14:textId="77777777" w:rsidR="00FD645B" w:rsidRDefault="00FD645B" w:rsidP="00FD645B">
      <w:r>
        <w:t>1. Patient Age must be 75 years or older, to capture the geriatric risk population identified in prior VA studies.</w:t>
      </w:r>
    </w:p>
    <w:p w14:paraId="4D9E75DA" w14:textId="77777777" w:rsidR="00FD645B" w:rsidRDefault="00FD645B" w:rsidP="00FD645B">
      <w:r>
        <w:t xml:space="preserve">2. Patient Gender must be "Male", as this study specifically addresses the </w:t>
      </w:r>
      <w:proofErr w:type="spellStart"/>
      <w:r>
        <w:t>undercharacterized</w:t>
      </w:r>
      <w:proofErr w:type="spellEnd"/>
      <w:r>
        <w:t xml:space="preserve"> male GI safety profile.</w:t>
      </w:r>
    </w:p>
    <w:p w14:paraId="531C0AE7" w14:textId="77777777" w:rsidR="00FD645B" w:rsidRDefault="00FD645B" w:rsidP="00FD645B">
      <w:r>
        <w:t>3. Current Medication regimen must actively list standard over-the-counter NSAID therapy prescribed for chronic inflammation management. The specific NSAID formulation will be identified from the EHR medication reconciliation record.</w:t>
      </w:r>
    </w:p>
    <w:p w14:paraId="75DB3088" w14:textId="77777777" w:rsidR="00FD645B" w:rsidRDefault="00FD645B" w:rsidP="00FD645B">
      <w:r>
        <w:t>4. Patient Test Results must be "Normal" — candidates must be asymptomatic and clinically stable at baseline to establish a clean prospective observation window.</w:t>
      </w:r>
    </w:p>
    <w:p w14:paraId="74E1D1D5" w14:textId="77777777" w:rsidR="00FD645B" w:rsidRDefault="00FD645B" w:rsidP="00FD645B"/>
    <w:p w14:paraId="163BBF1C" w14:textId="77777777" w:rsidR="00FD645B" w:rsidRDefault="00FD645B" w:rsidP="00FD645B"/>
    <w:p w14:paraId="0D1F49DA" w14:textId="77777777" w:rsidR="00FD645B" w:rsidRDefault="00FD645B" w:rsidP="00FD645B">
      <w:r>
        <w:lastRenderedPageBreak/>
        <w:t xml:space="preserve">Investigational product supply chain management follows the sponsor's validated cold-chain logistics framework, which maintains continuous temperature monitoring from the manufacturing facility through regional distribution </w:t>
      </w:r>
      <w:proofErr w:type="spellStart"/>
      <w:r>
        <w:t>centers</w:t>
      </w:r>
      <w:proofErr w:type="spellEnd"/>
      <w:r>
        <w:t xml:space="preserve"> to individual clinical sites. Temperature excursion management procedures specify acceptable deviation ranges, documentation requirements, and disposition decision pathways that involve both the sponsor's quality assurance unit and the qualified person responsible for batch certification. All investigational product shipments are accompanied by validated temperature monitoring devices that record ambient temperature at five-minute intervals throughout the distribution process.</w:t>
      </w:r>
    </w:p>
    <w:p w14:paraId="0460D7E9" w14:textId="77777777" w:rsidR="00FD645B" w:rsidRDefault="00FD645B" w:rsidP="00FD645B"/>
    <w:p w14:paraId="1247C377" w14:textId="77777777" w:rsidR="00FD645B" w:rsidRDefault="00FD645B" w:rsidP="00FD645B">
      <w:r>
        <w:t>Data integrity and subject privacy are ensured through a multi-layered security architecture that includes AES-256 encryption for data at rest, TLS 1.3 for data in transit, and role-based access controls implementing the principle of least privilege across all electronic data capture systems. The electronic case report form system has been validated in accordance with 21 CFR Part 11 requirements for electronic records and electronic signatures, with complete audit trail functionality that captures all data creation, modification, and deletion events with timestamps and user identification. Regular vulnerability assessments and penetration testing are conducted by an independent cybersecurity firm to ensure ongoing compliance with HIPAA Security Rule administrative, physical, and technical safeguard requirements.</w:t>
      </w:r>
    </w:p>
    <w:p w14:paraId="66225A16" w14:textId="77777777" w:rsidR="00FD645B" w:rsidRDefault="00FD645B" w:rsidP="00FD645B"/>
    <w:p w14:paraId="4EE6DE20" w14:textId="77777777" w:rsidR="00FD645B" w:rsidRDefault="00FD645B" w:rsidP="00FD645B">
      <w:r>
        <w:t xml:space="preserve">The pathophysiological basis for the proposed therapeutic intervention rests on converging evidence from molecular biology, pharmacology, and clinical observation spanning approximately two decades of systematic investigation. At the cellular level, the target pathway mediates a cascade of inflammatory and metabolic </w:t>
      </w:r>
      <w:proofErr w:type="spellStart"/>
      <w:r>
        <w:t>signaling</w:t>
      </w:r>
      <w:proofErr w:type="spellEnd"/>
      <w:r>
        <w:t xml:space="preserve"> events that have been implicated in disease progression across multiple organ systems. Preclinical studies using both in vitro cell-based assays and in vivo animal models have demonstrated dose-dependent modulation of key biomarkers, with therapeutic concentrations achievable within the predicted human pharmacokinetic profile based on allometric scaling from non-human primate data.</w:t>
      </w:r>
    </w:p>
    <w:p w14:paraId="09E44D31" w14:textId="77777777" w:rsidR="00FD645B" w:rsidRDefault="00FD645B" w:rsidP="00FD645B"/>
    <w:p w14:paraId="24AC2B8E" w14:textId="167202EE" w:rsidR="00417BBC" w:rsidRDefault="00FD645B" w:rsidP="00FD645B">
      <w:r>
        <w:t>The biostatistical analysis plan specifies a modified intention-to-treat population as the primary analysis set, defined as all randomized subjects who receive at least one dose of study medication and have at least one post-baseline efficacy assessment. Sensitivity analyses will be conducted using the per-protocol population, which excludes subjects with major protocol deviations that could materially impact the interpretability of their efficacy data. Missing data will be handled using a pattern mixture model framework with multiple imputation under the missing-at-random assumption, with sensitivity analyses conducted under missing-not-at-random scenarios using tipping point analyses to assess the robustness of primary conclusions.</w:t>
      </w:r>
    </w:p>
    <w:sectPr w:rsidR="00417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6E"/>
    <w:rsid w:val="00327AAE"/>
    <w:rsid w:val="00417BBC"/>
    <w:rsid w:val="00474AC4"/>
    <w:rsid w:val="005D3CD8"/>
    <w:rsid w:val="00631704"/>
    <w:rsid w:val="00927D6E"/>
    <w:rsid w:val="00A77CD4"/>
    <w:rsid w:val="00A83C41"/>
    <w:rsid w:val="00BB79F7"/>
    <w:rsid w:val="00FD6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A230B"/>
  <w15:chartTrackingRefBased/>
  <w15:docId w15:val="{06B2D854-9EA2-4D62-8657-722762812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D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D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D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D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D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D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D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D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D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D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D6E"/>
    <w:rPr>
      <w:rFonts w:eastAsiaTheme="majorEastAsia" w:cstheme="majorBidi"/>
      <w:color w:val="272727" w:themeColor="text1" w:themeTint="D8"/>
    </w:rPr>
  </w:style>
  <w:style w:type="paragraph" w:styleId="Title">
    <w:name w:val="Title"/>
    <w:basedOn w:val="Normal"/>
    <w:next w:val="Normal"/>
    <w:link w:val="TitleChar"/>
    <w:uiPriority w:val="10"/>
    <w:qFormat/>
    <w:rsid w:val="00927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D6E"/>
    <w:pPr>
      <w:spacing w:before="160"/>
      <w:jc w:val="center"/>
    </w:pPr>
    <w:rPr>
      <w:i/>
      <w:iCs/>
      <w:color w:val="404040" w:themeColor="text1" w:themeTint="BF"/>
    </w:rPr>
  </w:style>
  <w:style w:type="character" w:customStyle="1" w:styleId="QuoteChar">
    <w:name w:val="Quote Char"/>
    <w:basedOn w:val="DefaultParagraphFont"/>
    <w:link w:val="Quote"/>
    <w:uiPriority w:val="29"/>
    <w:rsid w:val="00927D6E"/>
    <w:rPr>
      <w:i/>
      <w:iCs/>
      <w:color w:val="404040" w:themeColor="text1" w:themeTint="BF"/>
    </w:rPr>
  </w:style>
  <w:style w:type="paragraph" w:styleId="ListParagraph">
    <w:name w:val="List Paragraph"/>
    <w:basedOn w:val="Normal"/>
    <w:uiPriority w:val="34"/>
    <w:qFormat/>
    <w:rsid w:val="00927D6E"/>
    <w:pPr>
      <w:ind w:left="720"/>
      <w:contextualSpacing/>
    </w:pPr>
  </w:style>
  <w:style w:type="character" w:styleId="IntenseEmphasis">
    <w:name w:val="Intense Emphasis"/>
    <w:basedOn w:val="DefaultParagraphFont"/>
    <w:uiPriority w:val="21"/>
    <w:qFormat/>
    <w:rsid w:val="00927D6E"/>
    <w:rPr>
      <w:i/>
      <w:iCs/>
      <w:color w:val="2F5496" w:themeColor="accent1" w:themeShade="BF"/>
    </w:rPr>
  </w:style>
  <w:style w:type="paragraph" w:styleId="IntenseQuote">
    <w:name w:val="Intense Quote"/>
    <w:basedOn w:val="Normal"/>
    <w:next w:val="Normal"/>
    <w:link w:val="IntenseQuoteChar"/>
    <w:uiPriority w:val="30"/>
    <w:qFormat/>
    <w:rsid w:val="00927D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D6E"/>
    <w:rPr>
      <w:i/>
      <w:iCs/>
      <w:color w:val="2F5496" w:themeColor="accent1" w:themeShade="BF"/>
    </w:rPr>
  </w:style>
  <w:style w:type="character" w:styleId="IntenseReference">
    <w:name w:val="Intense Reference"/>
    <w:basedOn w:val="DefaultParagraphFont"/>
    <w:uiPriority w:val="32"/>
    <w:qFormat/>
    <w:rsid w:val="00927D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1245</Words>
  <Characters>7100</Characters>
  <Application>Microsoft Office Word</Application>
  <DocSecurity>0</DocSecurity>
  <Lines>59</Lines>
  <Paragraphs>16</Paragraphs>
  <ScaleCrop>false</ScaleCrop>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 Raja</dc:creator>
  <cp:keywords/>
  <dc:description/>
  <cp:lastModifiedBy>Yogeshwar Raja</cp:lastModifiedBy>
  <cp:revision>4</cp:revision>
  <dcterms:created xsi:type="dcterms:W3CDTF">2026-03-13T09:31:00Z</dcterms:created>
  <dcterms:modified xsi:type="dcterms:W3CDTF">2026-03-13T12:22:00Z</dcterms:modified>
</cp:coreProperties>
</file>