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2DE0" w14:textId="77777777" w:rsidR="00600621" w:rsidRDefault="00600621" w:rsidP="00600621">
      <w:r>
        <w:t>MEMORANDUM OF STUDY DESIGN: ORT-2026-002</w:t>
      </w:r>
    </w:p>
    <w:p w14:paraId="1DD0DDAC" w14:textId="77777777" w:rsidR="00600621" w:rsidRDefault="00600621" w:rsidP="00600621">
      <w:r>
        <w:t>Subject: Cardiovascular Risk Reduction in Middle-Aged Hypertensive Cohorts (Phase II)</w:t>
      </w:r>
    </w:p>
    <w:p w14:paraId="70D4DFBB" w14:textId="77777777" w:rsidR="00600621" w:rsidRDefault="00600621" w:rsidP="00600621">
      <w:r>
        <w:t>Date: March 2026</w:t>
      </w:r>
    </w:p>
    <w:p w14:paraId="3197F761" w14:textId="77777777" w:rsidR="00600621" w:rsidRDefault="00600621" w:rsidP="00600621">
      <w:r>
        <w:t>Classification: Internal — Restricted Distribution</w:t>
      </w:r>
    </w:p>
    <w:p w14:paraId="2DFA1430" w14:textId="77777777" w:rsidR="00600621" w:rsidRDefault="00600621" w:rsidP="00600621"/>
    <w:p w14:paraId="6DE54802" w14:textId="77777777" w:rsidR="00600621" w:rsidRDefault="00600621" w:rsidP="00600621">
      <w:r>
        <w:t>EXECUTIVE SUMMARY</w:t>
      </w:r>
    </w:p>
    <w:p w14:paraId="10085503" w14:textId="77777777" w:rsidR="00600621" w:rsidRDefault="00600621" w:rsidP="00600621"/>
    <w:p w14:paraId="2AB2174D" w14:textId="77777777" w:rsidR="00600621" w:rsidRDefault="00600621" w:rsidP="00600621">
      <w:r>
        <w:t xml:space="preserve">The global burden of cardiovascular morbidity attributable to poorly managed systemic arterial hypertension continues to escalate despite the availability of multiple pharmacological classes. Recent meta-analyses published in The Lancet Cardiology (2025) estimate that fewer than 40 percent of diagnosed hypertensive patients achieve sustained target blood pressure under current standard-of-care regimens. </w:t>
      </w:r>
      <w:proofErr w:type="spellStart"/>
      <w:r>
        <w:t>Agilisium</w:t>
      </w:r>
      <w:proofErr w:type="spellEnd"/>
      <w:r>
        <w:t xml:space="preserve"> Life Sciences proposes a Phase II observation trial to evaluate a novel angiotensin receptor-neprilysin inhibitor combination in a tightly defined cohort.</w:t>
      </w:r>
    </w:p>
    <w:p w14:paraId="0D34BC31" w14:textId="77777777" w:rsidR="00600621" w:rsidRDefault="00600621" w:rsidP="00600621"/>
    <w:p w14:paraId="3B2467C3" w14:textId="77777777" w:rsidR="00600621" w:rsidRDefault="00600621" w:rsidP="00600621">
      <w:r>
        <w:t>Interim analyses will be conducted by an independent Data Safety Monitoring Board comprising at least three members with relevant clinical expertise, one biostatistician, and one ethicist. The DSMB will review unblinded safety data at pre-specified intervals and has the authority to recommend study termination for safety concerns, overwhelming efficacy, or futility based on pre-defined stopping boundaries calculated using the Lan-</w:t>
      </w:r>
      <w:proofErr w:type="spellStart"/>
      <w:r>
        <w:t>DeMets</w:t>
      </w:r>
      <w:proofErr w:type="spellEnd"/>
      <w:r>
        <w:t xml:space="preserve"> alpha-spending function with O'Brien-Fleming-type boundaries to preserve the overall Type I error rate at the two-sided 0.05 significance level.</w:t>
      </w:r>
    </w:p>
    <w:p w14:paraId="7EAD7402" w14:textId="77777777" w:rsidR="00600621" w:rsidRDefault="00600621" w:rsidP="00600621"/>
    <w:p w14:paraId="5F487E90" w14:textId="77777777" w:rsidR="00600621" w:rsidRDefault="00600621" w:rsidP="00600621">
      <w:r>
        <w:t xml:space="preserve">Site initiation visits will be conducted by qualified clinical research associates prior to the </w:t>
      </w:r>
      <w:proofErr w:type="spellStart"/>
      <w:r>
        <w:t>enrollment</w:t>
      </w:r>
      <w:proofErr w:type="spellEnd"/>
      <w:r>
        <w:t xml:space="preserve"> of the first subject at each participating institution. The initiation visit agenda includes comprehensive protocol training for all site personnel involved in study conduct, review of informed consent procedures and documentation requirements, verification of regulatory document completeness, confirmation of investigational product storage and accountability procedures, and hands-on training for all study-specific equipment and electronic data capture systems. Sites must demonstrate competency in all critical study procedures before receiving authorization to begin screening activities.</w:t>
      </w:r>
    </w:p>
    <w:p w14:paraId="7B2C54AB" w14:textId="77777777" w:rsidR="00600621" w:rsidRDefault="00600621" w:rsidP="00600621"/>
    <w:p w14:paraId="6EB915B6" w14:textId="77777777" w:rsidR="00600621" w:rsidRDefault="00600621" w:rsidP="00600621">
      <w:r>
        <w:t xml:space="preserve">Clinical monitoring activities follow a risk-proportionate approach with a combination of on-site monitoring visits, remote monitoring activities, and centralized data review. On-site monitoring visits occur at minimum quarterly frequency, with additional visits triggered by </w:t>
      </w:r>
      <w:proofErr w:type="spellStart"/>
      <w:r>
        <w:t>enrollment</w:t>
      </w:r>
      <w:proofErr w:type="spellEnd"/>
      <w:r>
        <w:t xml:space="preserve"> milestones, safety signals, or quality indicators exceeding pre-defined thresholds. Source document verification is performed for all primary endpoint data, all serious adverse events, and a random sample of secondary endpoint data sufficient to provide 95 percent confidence in overall data accuracy within a three percent margin of error.</w:t>
      </w:r>
    </w:p>
    <w:p w14:paraId="4D82CF0B" w14:textId="77777777" w:rsidR="00600621" w:rsidRDefault="00600621" w:rsidP="00600621"/>
    <w:p w14:paraId="2E4DB070" w14:textId="77777777" w:rsidR="00600621" w:rsidRDefault="00600621" w:rsidP="00600621">
      <w:r>
        <w:lastRenderedPageBreak/>
        <w:t>Biomarker analyses will employ validated liquid chromatography-tandem mass spectrometry methods for pharmacokinetic assessments and commercially available immunoassay platforms for pharmacodynamic biomarkers. All bioanalytical methods have been validated in accordance with FDA Guidance for Industry on Bioanalytical Method Validation (2018), with demonstrated accuracy, precision, selectivity, sensitivity, reproducibility, and stability within pre-defined acceptance criteria. Quality control samples spanning the calibration range are included in each analytical run, with acceptance criteria requiring that at least two-thirds of quality control samples fall within 15 percent of nominal concentration.</w:t>
      </w:r>
    </w:p>
    <w:p w14:paraId="7576918D" w14:textId="77777777" w:rsidR="00600621" w:rsidRDefault="00600621" w:rsidP="00600621"/>
    <w:p w14:paraId="60BAB865" w14:textId="77777777" w:rsidR="00600621" w:rsidRDefault="00600621" w:rsidP="00600621">
      <w:r>
        <w:t>The clinical operations team maintains a comprehensive communication plan that includes monthly investigator newsletters, quarterly investigator teleconferences, and an annual investigator meeting. A dedicated medical monitor is available around the clock for consultation on eligibility questions, adverse event management guidance, and protocol interpretation issues. The sponsor's medical information department provides a toll-free hotline for subjects and healthcare providers seeking information about the investigational product or the clinical trial program.</w:t>
      </w:r>
    </w:p>
    <w:p w14:paraId="7640E35D" w14:textId="77777777" w:rsidR="00600621" w:rsidRDefault="00600621" w:rsidP="00600621"/>
    <w:p w14:paraId="325F5D79" w14:textId="77777777" w:rsidR="00600621" w:rsidRDefault="00600621" w:rsidP="00600621">
      <w:r>
        <w:t>Interim analyses will be conducted by an independent Data Safety Monitoring Board comprising at least three members with relevant clinical expertise, one biostatistician, and one ethicist. The DSMB will review unblinded safety data at pre-specified intervals and has the authority to recommend study termination for safety concerns, overwhelming efficacy, or futility based on pre-defined stopping boundaries calculated using the Lan-</w:t>
      </w:r>
      <w:proofErr w:type="spellStart"/>
      <w:r>
        <w:t>DeMets</w:t>
      </w:r>
      <w:proofErr w:type="spellEnd"/>
      <w:r>
        <w:t xml:space="preserve"> alpha-spending function with O'Brien-Fleming-type boundaries to preserve the overall Type I error rate at the two-sided 0.05 significance level.</w:t>
      </w:r>
    </w:p>
    <w:p w14:paraId="0F91BA02" w14:textId="77777777" w:rsidR="00600621" w:rsidRDefault="00600621" w:rsidP="00600621"/>
    <w:p w14:paraId="6499AA67" w14:textId="77777777" w:rsidR="00600621" w:rsidRDefault="00600621" w:rsidP="00600621"/>
    <w:p w14:paraId="762B1CCA" w14:textId="77777777" w:rsidR="00600621" w:rsidRDefault="00600621" w:rsidP="00600621">
      <w:r>
        <w:t>SUBJECT SELECTION CRITERIA</w:t>
      </w:r>
    </w:p>
    <w:p w14:paraId="6EFC5662" w14:textId="77777777" w:rsidR="00600621" w:rsidRDefault="00600621" w:rsidP="00600621"/>
    <w:p w14:paraId="618AE81C" w14:textId="77777777" w:rsidR="00600621" w:rsidRDefault="00600621" w:rsidP="00600621">
      <w:r>
        <w:t xml:space="preserve">Below are the bounds for patient </w:t>
      </w:r>
      <w:proofErr w:type="spellStart"/>
      <w:r>
        <w:t>enrollment</w:t>
      </w:r>
      <w:proofErr w:type="spellEnd"/>
      <w:r>
        <w:t xml:space="preserve"> in this observation trial. Candidates identified through EHR data mining must satisfy all listed inclusion parameters. There are no protocol-mandated exclusion criteria at this phase; manual chart audits will follow automated screening.</w:t>
      </w:r>
    </w:p>
    <w:p w14:paraId="28F7536A" w14:textId="77777777" w:rsidR="00600621" w:rsidRDefault="00600621" w:rsidP="00600621"/>
    <w:p w14:paraId="3347C9CC" w14:textId="77777777" w:rsidR="00600621" w:rsidRDefault="00600621" w:rsidP="00600621">
      <w:r>
        <w:t>Inclusion Bounds:</w:t>
      </w:r>
    </w:p>
    <w:p w14:paraId="64156B1A" w14:textId="77777777" w:rsidR="00600621" w:rsidRDefault="00600621" w:rsidP="00600621">
      <w:r>
        <w:t>Diagnosis: The candidate must suffer from chronically elevated systemic arterial pressure, with documented values consistently exceeding 140/90 mmHg across at least three clinic visits within the preceding 12 months.</w:t>
      </w:r>
    </w:p>
    <w:p w14:paraId="24BAB60A" w14:textId="77777777" w:rsidR="00600621" w:rsidRDefault="00600621" w:rsidP="00600621">
      <w:r>
        <w:t>Age Bracket: The candidate's Age must be between 50 and 70 years old, inclusive. This range is selected to minimize confounding from age-related arterial stiffening while capturing the peak incidence window for treatment-responsive hypertension.</w:t>
      </w:r>
    </w:p>
    <w:p w14:paraId="29E65F32" w14:textId="77777777" w:rsidR="00600621" w:rsidRDefault="00600621" w:rsidP="00600621">
      <w:r>
        <w:t>Pharmacology: The patient must be currently managed on a daily regimen of atorvastatin calcium (commonly branded as Lipitor), as concomitant statin therapy is a protocol requirement for cardiovascular risk stratification in this cohort.</w:t>
      </w:r>
    </w:p>
    <w:p w14:paraId="05DED889" w14:textId="77777777" w:rsidR="00600621" w:rsidRDefault="00600621" w:rsidP="00600621"/>
    <w:p w14:paraId="5125AB4D" w14:textId="77777777" w:rsidR="00600621" w:rsidRDefault="00600621" w:rsidP="00600621"/>
    <w:p w14:paraId="2D299745" w14:textId="77777777" w:rsidR="00600621" w:rsidRDefault="00600621" w:rsidP="00600621">
      <w:r>
        <w:t xml:space="preserve">Investigational product supply chain management follows the sponsor's validated cold-chain logistics framework, which maintains continuous temperature monitoring from the manufacturing facility through regional distribution </w:t>
      </w:r>
      <w:proofErr w:type="spellStart"/>
      <w:r>
        <w:t>centers</w:t>
      </w:r>
      <w:proofErr w:type="spellEnd"/>
      <w:r>
        <w:t xml:space="preserve"> to individual clinical sites. Temperature excursion management procedures specify acceptable deviation ranges, documentation requirements, and disposition decision pathways that involve both the sponsor's quality assurance unit and the qualified person responsible for batch certification. All investigational product shipments are accompanied by validated temperature monitoring devices that record ambient temperature at five-minute intervals throughout the distribution process.</w:t>
      </w:r>
    </w:p>
    <w:p w14:paraId="2F9CF3EE" w14:textId="77777777" w:rsidR="00600621" w:rsidRDefault="00600621" w:rsidP="00600621"/>
    <w:p w14:paraId="3346BE57" w14:textId="77777777" w:rsidR="00600621" w:rsidRDefault="00600621" w:rsidP="00600621">
      <w:r>
        <w:t xml:space="preserve">Site initiation visits will be conducted by qualified clinical research associates prior to the </w:t>
      </w:r>
      <w:proofErr w:type="spellStart"/>
      <w:r>
        <w:t>enrollment</w:t>
      </w:r>
      <w:proofErr w:type="spellEnd"/>
      <w:r>
        <w:t xml:space="preserve"> of the first subject at each participating institution. The initiation visit agenda includes comprehensive protocol training for all site personnel involved in study conduct, review of informed consent procedures and documentation requirements, verification of regulatory document completeness, confirmation of investigational product storage and accountability procedures, and hands-on training for all study-specific equipment and electronic data capture systems. Sites must demonstrate competency in all critical study procedures before receiving authorization to begin screening activities.</w:t>
      </w:r>
    </w:p>
    <w:p w14:paraId="3C00D105" w14:textId="77777777" w:rsidR="00600621" w:rsidRDefault="00600621" w:rsidP="00600621"/>
    <w:p w14:paraId="065F7640" w14:textId="77777777" w:rsidR="00600621" w:rsidRDefault="00600621" w:rsidP="00600621">
      <w:r>
        <w:t>Sample size calculations are based on the primary endpoint analysis assuming a two-sided test at the 0.05 significance level with 80 percent statistical power to detect a clinically meaningful difference between the investigational and control arms. The assumed effect size is derived from the pooled estimate of prior Phase II studies in similar populations, adjusted for expected variability based on the range of baseline disease severity in the target population. An additional 15 percent inflation factor has been applied to account for anticipated dropout rates based on historical data from comparable clinical programs in this therapeutic area.</w:t>
      </w:r>
    </w:p>
    <w:p w14:paraId="17482907" w14:textId="77777777" w:rsidR="00600621" w:rsidRDefault="00600621" w:rsidP="00600621"/>
    <w:p w14:paraId="102E9F68" w14:textId="465AB8BA" w:rsidR="00417BBC" w:rsidRPr="00600621" w:rsidRDefault="00600621" w:rsidP="00600621">
      <w:r>
        <w:t>Sample size calculations are based on the primary endpoint analysis assuming a two-sided test at the 0.05 significance level with 80 percent statistical power to detect a clinically meaningful difference between the investigational and control arms. The assumed effect size is derived from the pooled estimate of prior Phase II studies in similar populations, adjusted for expected variability based on the range of baseline disease severity in the target population. An additional 15 percent inflation factor has been applied to account for anticipated dropout rates based on historical data from comparable clinical programs in this therapeutic area.</w:t>
      </w:r>
    </w:p>
    <w:sectPr w:rsidR="00417BBC" w:rsidRPr="00600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8A8"/>
    <w:rsid w:val="001964C5"/>
    <w:rsid w:val="002C1D20"/>
    <w:rsid w:val="00417BBC"/>
    <w:rsid w:val="00474AC4"/>
    <w:rsid w:val="00600621"/>
    <w:rsid w:val="008D48A8"/>
    <w:rsid w:val="00A77CD4"/>
    <w:rsid w:val="00B51059"/>
    <w:rsid w:val="00D15B57"/>
    <w:rsid w:val="00DD3CA9"/>
    <w:rsid w:val="00DE4CD9"/>
    <w:rsid w:val="00FF1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540CC"/>
  <w15:chartTrackingRefBased/>
  <w15:docId w15:val="{6C315A72-9BEB-4E12-881E-D966EDB37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059"/>
  </w:style>
  <w:style w:type="paragraph" w:styleId="Heading1">
    <w:name w:val="heading 1"/>
    <w:basedOn w:val="Normal"/>
    <w:next w:val="Normal"/>
    <w:link w:val="Heading1Char"/>
    <w:uiPriority w:val="9"/>
    <w:qFormat/>
    <w:rsid w:val="008D48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48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48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48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48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4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8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48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48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48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48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4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8A8"/>
    <w:rPr>
      <w:rFonts w:eastAsiaTheme="majorEastAsia" w:cstheme="majorBidi"/>
      <w:color w:val="272727" w:themeColor="text1" w:themeTint="D8"/>
    </w:rPr>
  </w:style>
  <w:style w:type="paragraph" w:styleId="Title">
    <w:name w:val="Title"/>
    <w:basedOn w:val="Normal"/>
    <w:next w:val="Normal"/>
    <w:link w:val="TitleChar"/>
    <w:uiPriority w:val="10"/>
    <w:qFormat/>
    <w:rsid w:val="008D4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8A8"/>
    <w:pPr>
      <w:spacing w:before="160"/>
      <w:jc w:val="center"/>
    </w:pPr>
    <w:rPr>
      <w:i/>
      <w:iCs/>
      <w:color w:val="404040" w:themeColor="text1" w:themeTint="BF"/>
    </w:rPr>
  </w:style>
  <w:style w:type="character" w:customStyle="1" w:styleId="QuoteChar">
    <w:name w:val="Quote Char"/>
    <w:basedOn w:val="DefaultParagraphFont"/>
    <w:link w:val="Quote"/>
    <w:uiPriority w:val="29"/>
    <w:rsid w:val="008D48A8"/>
    <w:rPr>
      <w:i/>
      <w:iCs/>
      <w:color w:val="404040" w:themeColor="text1" w:themeTint="BF"/>
    </w:rPr>
  </w:style>
  <w:style w:type="paragraph" w:styleId="ListParagraph">
    <w:name w:val="List Paragraph"/>
    <w:basedOn w:val="Normal"/>
    <w:uiPriority w:val="34"/>
    <w:qFormat/>
    <w:rsid w:val="008D48A8"/>
    <w:pPr>
      <w:ind w:left="720"/>
      <w:contextualSpacing/>
    </w:pPr>
  </w:style>
  <w:style w:type="character" w:styleId="IntenseEmphasis">
    <w:name w:val="Intense Emphasis"/>
    <w:basedOn w:val="DefaultParagraphFont"/>
    <w:uiPriority w:val="21"/>
    <w:qFormat/>
    <w:rsid w:val="008D48A8"/>
    <w:rPr>
      <w:i/>
      <w:iCs/>
      <w:color w:val="2F5496" w:themeColor="accent1" w:themeShade="BF"/>
    </w:rPr>
  </w:style>
  <w:style w:type="paragraph" w:styleId="IntenseQuote">
    <w:name w:val="Intense Quote"/>
    <w:basedOn w:val="Normal"/>
    <w:next w:val="Normal"/>
    <w:link w:val="IntenseQuoteChar"/>
    <w:uiPriority w:val="30"/>
    <w:qFormat/>
    <w:rsid w:val="008D4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48A8"/>
    <w:rPr>
      <w:i/>
      <w:iCs/>
      <w:color w:val="2F5496" w:themeColor="accent1" w:themeShade="BF"/>
    </w:rPr>
  </w:style>
  <w:style w:type="character" w:styleId="IntenseReference">
    <w:name w:val="Intense Reference"/>
    <w:basedOn w:val="DefaultParagraphFont"/>
    <w:uiPriority w:val="32"/>
    <w:qFormat/>
    <w:rsid w:val="008D48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1242</Words>
  <Characters>7084</Characters>
  <Application>Microsoft Office Word</Application>
  <DocSecurity>0</DocSecurity>
  <Lines>59</Lines>
  <Paragraphs>16</Paragraphs>
  <ScaleCrop>false</ScaleCrop>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Raja</dc:creator>
  <cp:keywords/>
  <dc:description/>
  <cp:lastModifiedBy>Yogeshwar Raja</cp:lastModifiedBy>
  <cp:revision>5</cp:revision>
  <dcterms:created xsi:type="dcterms:W3CDTF">2026-03-13T09:25:00Z</dcterms:created>
  <dcterms:modified xsi:type="dcterms:W3CDTF">2026-03-13T12:21:00Z</dcterms:modified>
</cp:coreProperties>
</file>