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FAF9" w14:textId="77777777" w:rsidR="00D67648" w:rsidRPr="00D67648" w:rsidRDefault="00D67648">
      <w:pPr>
        <w:rPr>
          <w:rFonts w:ascii="Cambria" w:hAnsi="Cambria"/>
          <w:b/>
          <w:bCs/>
          <w:sz w:val="28"/>
          <w:szCs w:val="28"/>
          <w:u w:val="single"/>
        </w:rPr>
      </w:pPr>
      <w:r w:rsidRPr="00D67648">
        <w:rPr>
          <w:rFonts w:ascii="Cambria" w:hAnsi="Cambria"/>
          <w:b/>
          <w:bCs/>
          <w:sz w:val="28"/>
          <w:szCs w:val="28"/>
          <w:u w:val="single"/>
        </w:rPr>
        <w:t xml:space="preserve">Project Objective </w:t>
      </w:r>
    </w:p>
    <w:p w14:paraId="6B67AC6B" w14:textId="43E5C02B" w:rsidR="004D43A8" w:rsidRPr="00D67648" w:rsidRDefault="00D67648" w:rsidP="00D67648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D67648">
        <w:rPr>
          <w:rFonts w:ascii="Cambria" w:hAnsi="Cambria"/>
        </w:rPr>
        <w:t xml:space="preserve">To develop a comprehensive credit card weekly dashboard that provides real-time insights into key performance metrics and trends, enabling stakeholders to monitor and </w:t>
      </w:r>
      <w:proofErr w:type="spellStart"/>
      <w:r w:rsidRPr="00D67648">
        <w:rPr>
          <w:rFonts w:ascii="Cambria" w:hAnsi="Cambria"/>
        </w:rPr>
        <w:t>analyze</w:t>
      </w:r>
      <w:proofErr w:type="spellEnd"/>
      <w:r w:rsidRPr="00D67648">
        <w:rPr>
          <w:rFonts w:ascii="Cambria" w:hAnsi="Cambria"/>
        </w:rPr>
        <w:t xml:space="preserve"> credit card operations effectively</w:t>
      </w:r>
    </w:p>
    <w:p w14:paraId="6A6CE091" w14:textId="77777777" w:rsidR="00D67648" w:rsidRDefault="00D67648">
      <w:pPr>
        <w:rPr>
          <w:rFonts w:ascii="Cambria" w:hAnsi="Cambria"/>
        </w:rPr>
      </w:pPr>
    </w:p>
    <w:p w14:paraId="5AD3DF3F" w14:textId="77777777" w:rsidR="00D67648" w:rsidRDefault="00D67648" w:rsidP="00D67648">
      <w:pPr>
        <w:rPr>
          <w:rFonts w:ascii="Cambria" w:hAnsi="Cambria"/>
          <w:b/>
          <w:bCs/>
          <w:sz w:val="28"/>
          <w:szCs w:val="28"/>
          <w:u w:val="single"/>
        </w:rPr>
      </w:pPr>
      <w:r w:rsidRPr="00D67648">
        <w:rPr>
          <w:rFonts w:ascii="Cambria" w:hAnsi="Cambria"/>
          <w:b/>
          <w:bCs/>
          <w:sz w:val="28"/>
          <w:szCs w:val="28"/>
          <w:u w:val="single"/>
        </w:rPr>
        <w:t>Project Insight</w:t>
      </w:r>
    </w:p>
    <w:p w14:paraId="20FB7FB7" w14:textId="36830141" w:rsidR="00D67648" w:rsidRPr="00D67648" w:rsidRDefault="00D67648" w:rsidP="00D67648">
      <w:pPr>
        <w:rPr>
          <w:rFonts w:ascii="Cambria" w:hAnsi="Cambria"/>
          <w:b/>
          <w:bCs/>
          <w:sz w:val="28"/>
          <w:szCs w:val="28"/>
          <w:u w:val="single"/>
        </w:rPr>
      </w:pPr>
      <w:r w:rsidRPr="00D67648">
        <w:rPr>
          <w:rFonts w:ascii="Cambria" w:hAnsi="Cambria"/>
          <w:b/>
          <w:bCs/>
          <w:sz w:val="24"/>
          <w:szCs w:val="24"/>
          <w:u w:val="single"/>
        </w:rPr>
        <w:t>Executive Insights – Credit Card Analysis Dashboard</w:t>
      </w:r>
    </w:p>
    <w:p w14:paraId="686D93B5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Total Revenue:</w:t>
      </w:r>
      <w:r w:rsidRPr="00EA0E54">
        <w:rPr>
          <w:rFonts w:ascii="Cambria" w:hAnsi="Cambria"/>
          <w:sz w:val="20"/>
          <w:szCs w:val="20"/>
        </w:rPr>
        <w:t xml:space="preserve"> 55.3M with </w:t>
      </w:r>
      <w:r w:rsidRPr="00EA0E54">
        <w:rPr>
          <w:rFonts w:ascii="Cambria" w:hAnsi="Cambria"/>
          <w:b/>
          <w:bCs/>
          <w:sz w:val="20"/>
          <w:szCs w:val="20"/>
        </w:rPr>
        <w:t>7.8M interest</w:t>
      </w:r>
      <w:r w:rsidRPr="00EA0E54">
        <w:rPr>
          <w:rFonts w:ascii="Cambria" w:hAnsi="Cambria"/>
          <w:sz w:val="20"/>
          <w:szCs w:val="20"/>
        </w:rPr>
        <w:t xml:space="preserve"> and </w:t>
      </w:r>
      <w:r w:rsidRPr="00EA0E54">
        <w:rPr>
          <w:rFonts w:ascii="Cambria" w:hAnsi="Cambria"/>
          <w:b/>
          <w:bCs/>
          <w:sz w:val="20"/>
          <w:szCs w:val="20"/>
        </w:rPr>
        <w:t>655K transactions</w:t>
      </w:r>
      <w:r w:rsidRPr="00EA0E54">
        <w:rPr>
          <w:rFonts w:ascii="Cambria" w:hAnsi="Cambria"/>
          <w:sz w:val="20"/>
          <w:szCs w:val="20"/>
        </w:rPr>
        <w:t>, showing strong usage.</w:t>
      </w:r>
    </w:p>
    <w:p w14:paraId="4EC87A11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Blue card segment</w:t>
      </w:r>
      <w:r w:rsidRPr="00EA0E54">
        <w:rPr>
          <w:rFonts w:ascii="Cambria" w:hAnsi="Cambria"/>
          <w:sz w:val="20"/>
          <w:szCs w:val="20"/>
        </w:rPr>
        <w:t xml:space="preserve"> generates the highest revenue, indicating most customers are in entry-level tiers.</w:t>
      </w:r>
    </w:p>
    <w:p w14:paraId="7BFFCCEB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Swipe transactions</w:t>
      </w:r>
      <w:r w:rsidRPr="00EA0E54">
        <w:rPr>
          <w:rFonts w:ascii="Cambria" w:hAnsi="Cambria"/>
          <w:sz w:val="20"/>
          <w:szCs w:val="20"/>
        </w:rPr>
        <w:t xml:space="preserve"> dominate, while online transactions are comparatively low.</w:t>
      </w:r>
    </w:p>
    <w:p w14:paraId="1F653F0C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Age group 40–50</w:t>
      </w:r>
      <w:r w:rsidRPr="00EA0E54">
        <w:rPr>
          <w:rFonts w:ascii="Cambria" w:hAnsi="Cambria"/>
          <w:sz w:val="20"/>
          <w:szCs w:val="20"/>
        </w:rPr>
        <w:t xml:space="preserve"> and </w:t>
      </w:r>
      <w:r w:rsidRPr="00EA0E54">
        <w:rPr>
          <w:rFonts w:ascii="Cambria" w:hAnsi="Cambria"/>
          <w:b/>
          <w:bCs/>
          <w:sz w:val="20"/>
          <w:szCs w:val="20"/>
        </w:rPr>
        <w:t>business professionals</w:t>
      </w:r>
      <w:r w:rsidRPr="00EA0E54">
        <w:rPr>
          <w:rFonts w:ascii="Cambria" w:hAnsi="Cambria"/>
          <w:sz w:val="20"/>
          <w:szCs w:val="20"/>
        </w:rPr>
        <w:t xml:space="preserve"> contribute the most revenue, making them key customer segments.</w:t>
      </w:r>
    </w:p>
    <w:p w14:paraId="0A306397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sz w:val="20"/>
          <w:szCs w:val="20"/>
        </w:rPr>
        <w:t xml:space="preserve">Major spending categories are </w:t>
      </w:r>
      <w:r w:rsidRPr="00EA0E54">
        <w:rPr>
          <w:rFonts w:ascii="Cambria" w:hAnsi="Cambria"/>
          <w:b/>
          <w:bCs/>
          <w:sz w:val="20"/>
          <w:szCs w:val="20"/>
        </w:rPr>
        <w:t>Bills, Entertainment, Fuel, and Grocery</w:t>
      </w:r>
      <w:r w:rsidRPr="00EA0E54">
        <w:rPr>
          <w:rFonts w:ascii="Cambria" w:hAnsi="Cambria"/>
          <w:sz w:val="20"/>
          <w:szCs w:val="20"/>
        </w:rPr>
        <w:t>, showing focus on essential expenses.</w:t>
      </w:r>
    </w:p>
    <w:p w14:paraId="7D693C1E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High-income and graduate customers</w:t>
      </w:r>
      <w:r w:rsidRPr="00EA0E54">
        <w:rPr>
          <w:rFonts w:ascii="Cambria" w:hAnsi="Cambria"/>
          <w:sz w:val="20"/>
          <w:szCs w:val="20"/>
        </w:rPr>
        <w:t xml:space="preserve"> generate higher revenue.</w:t>
      </w:r>
    </w:p>
    <w:p w14:paraId="493447CE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sz w:val="20"/>
          <w:szCs w:val="20"/>
        </w:rPr>
        <w:t xml:space="preserve">Revenue is concentrated in a few </w:t>
      </w:r>
      <w:r w:rsidRPr="00EA0E54">
        <w:rPr>
          <w:rFonts w:ascii="Cambria" w:hAnsi="Cambria"/>
          <w:b/>
          <w:bCs/>
          <w:sz w:val="20"/>
          <w:szCs w:val="20"/>
        </w:rPr>
        <w:t>top-performing states</w:t>
      </w:r>
      <w:r w:rsidRPr="00EA0E54">
        <w:rPr>
          <w:rFonts w:ascii="Cambria" w:hAnsi="Cambria"/>
          <w:sz w:val="20"/>
          <w:szCs w:val="20"/>
        </w:rPr>
        <w:t>, suggesting opportunities to expand in other regions.</w:t>
      </w:r>
    </w:p>
    <w:p w14:paraId="75B37BE1" w14:textId="77777777" w:rsidR="00EA0E54" w:rsidRPr="00EA0E54" w:rsidRDefault="00EA0E54" w:rsidP="00EA0E54">
      <w:pPr>
        <w:numPr>
          <w:ilvl w:val="0"/>
          <w:numId w:val="8"/>
        </w:num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Customer satisfaction is moderate</w:t>
      </w:r>
      <w:r w:rsidRPr="00EA0E54">
        <w:rPr>
          <w:rFonts w:ascii="Cambria" w:hAnsi="Cambria"/>
          <w:sz w:val="20"/>
          <w:szCs w:val="20"/>
        </w:rPr>
        <w:t>, indicating scope for improvement through better rewards and services.</w:t>
      </w:r>
    </w:p>
    <w:p w14:paraId="01A462F9" w14:textId="77777777" w:rsidR="00EA0E54" w:rsidRPr="00EA0E54" w:rsidRDefault="00EA0E54" w:rsidP="00EA0E54">
      <w:pPr>
        <w:rPr>
          <w:rFonts w:ascii="Cambria" w:hAnsi="Cambria"/>
          <w:sz w:val="20"/>
          <w:szCs w:val="20"/>
        </w:rPr>
      </w:pPr>
      <w:r w:rsidRPr="00EA0E54">
        <w:rPr>
          <w:rFonts w:ascii="Cambria" w:hAnsi="Cambria"/>
          <w:b/>
          <w:bCs/>
          <w:sz w:val="20"/>
          <w:szCs w:val="20"/>
        </w:rPr>
        <w:t>Conclusion:</w:t>
      </w:r>
      <w:r w:rsidRPr="00EA0E54">
        <w:rPr>
          <w:rFonts w:ascii="Cambria" w:hAnsi="Cambria"/>
          <w:sz w:val="20"/>
          <w:szCs w:val="20"/>
        </w:rPr>
        <w:br/>
        <w:t>The business is performing well, with strong transaction volume and revenue, but growth can be achieved by promoting premium cards, increasing digital payments, and targeting high-value customer segments.</w:t>
      </w:r>
    </w:p>
    <w:p w14:paraId="56FD7F73" w14:textId="7C3BAE9A" w:rsidR="00D67648" w:rsidRPr="00EA0E54" w:rsidRDefault="00D67648">
      <w:pPr>
        <w:rPr>
          <w:rFonts w:ascii="Cambria" w:hAnsi="Cambria"/>
          <w:sz w:val="20"/>
          <w:szCs w:val="20"/>
        </w:rPr>
      </w:pPr>
    </w:p>
    <w:sectPr w:rsidR="00D67648" w:rsidRPr="00EA0E54" w:rsidSect="00D676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8F6"/>
    <w:multiLevelType w:val="multilevel"/>
    <w:tmpl w:val="546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6592"/>
    <w:multiLevelType w:val="hybridMultilevel"/>
    <w:tmpl w:val="09AA0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1450D"/>
    <w:multiLevelType w:val="multilevel"/>
    <w:tmpl w:val="91D0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F7F42"/>
    <w:multiLevelType w:val="multilevel"/>
    <w:tmpl w:val="AB8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92437"/>
    <w:multiLevelType w:val="multilevel"/>
    <w:tmpl w:val="F63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C717C"/>
    <w:multiLevelType w:val="multilevel"/>
    <w:tmpl w:val="E74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56D8E"/>
    <w:multiLevelType w:val="multilevel"/>
    <w:tmpl w:val="592A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2589A"/>
    <w:multiLevelType w:val="multilevel"/>
    <w:tmpl w:val="8DF8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34242">
    <w:abstractNumId w:val="1"/>
  </w:num>
  <w:num w:numId="2" w16cid:durableId="1330519016">
    <w:abstractNumId w:val="6"/>
  </w:num>
  <w:num w:numId="3" w16cid:durableId="166554185">
    <w:abstractNumId w:val="3"/>
  </w:num>
  <w:num w:numId="4" w16cid:durableId="2065106730">
    <w:abstractNumId w:val="2"/>
  </w:num>
  <w:num w:numId="5" w16cid:durableId="1599024341">
    <w:abstractNumId w:val="7"/>
  </w:num>
  <w:num w:numId="6" w16cid:durableId="2132438798">
    <w:abstractNumId w:val="4"/>
  </w:num>
  <w:num w:numId="7" w16cid:durableId="1088310171">
    <w:abstractNumId w:val="5"/>
  </w:num>
  <w:num w:numId="8" w16cid:durableId="166188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48"/>
    <w:rsid w:val="004D43A8"/>
    <w:rsid w:val="00633789"/>
    <w:rsid w:val="006C39C1"/>
    <w:rsid w:val="007B7A17"/>
    <w:rsid w:val="00D67648"/>
    <w:rsid w:val="00EA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B03C4"/>
  <w15:chartTrackingRefBased/>
  <w15:docId w15:val="{4D8A58FB-5448-4C1B-A50A-5897225F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yoginder kumar</dc:creator>
  <cp:keywords/>
  <dc:description/>
  <cp:lastModifiedBy>yoginder kumar</cp:lastModifiedBy>
  <cp:revision>1</cp:revision>
  <dcterms:created xsi:type="dcterms:W3CDTF">2026-02-18T12:23:00Z</dcterms:created>
  <dcterms:modified xsi:type="dcterms:W3CDTF">2026-02-18T12:38:00Z</dcterms:modified>
</cp:coreProperties>
</file>