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ISO/IEC 42001 Overview (Sample)</w:t>
      </w:r>
    </w:p>
    <w:p>
      <w:r>
        <w:t>Placeholder paraphrase of ISO/IEC 42001:2023 (AI management systems) for testing Ben. Not the official text - use your licensed copy of the standard.</w:t>
      </w:r>
    </w:p>
    <w:p>
      <w:pPr>
        <w:pStyle w:val="Heading1"/>
      </w:pPr>
      <w:r>
        <w:t>Clause 4 Context of the organization</w:t>
      </w:r>
    </w:p>
    <w:p>
      <w:r>
        <w:t>The organization determines internal and external issues relevant to its purpose and the intended purpose of the AI systems it develops, provides or uses. It determines its roles with respect to AI systems (for example AI provider, AI producer or AI customer), the needs of interested parties, and the scope of the AI management system (AIMS).</w:t>
      </w:r>
    </w:p>
    <w:p>
      <w:pPr>
        <w:pStyle w:val="Heading1"/>
      </w:pPr>
      <w:r>
        <w:t>Clause 5 Leadership</w:t>
      </w:r>
    </w:p>
    <w:p>
      <w:r>
        <w:t>Top management demonstrates leadership and commitment by establishing an AI policy aligned with the organization's strategic direction, integrating AIMS requirements into business processes, and assigning roles, responsibilities and authorities.</w:t>
      </w:r>
    </w:p>
    <w:p>
      <w:pPr>
        <w:pStyle w:val="Heading1"/>
      </w:pPr>
      <w:r>
        <w:t>Clause 6.1.2 AI risk assessment</w:t>
      </w:r>
    </w:p>
    <w:p>
      <w:r>
        <w:t>The organization defines and applies an AI risk assessment process that identifies risks that could prevent achieving its AI objectives, analyses the potential consequences to the organization, individuals and societies, assesses likelihood, and compares results against defined risk criteria to prioritise treatment.</w:t>
      </w:r>
    </w:p>
    <w:p>
      <w:pPr>
        <w:pStyle w:val="Heading1"/>
      </w:pPr>
      <w:r>
        <w:t>Clause 6.1.3 AI risk treatment</w:t>
      </w:r>
    </w:p>
    <w:p>
      <w:r>
        <w:t>The organization selects appropriate AI risk treatment options and determines the controls necessary to implement them, compares them with the reference controls in Annex A, and produces a Statement of Applicability justifying inclusion or exclusion of controls. Residual risks are accepted by the risk owners.</w:t>
      </w:r>
    </w:p>
    <w:p>
      <w:pPr>
        <w:pStyle w:val="Heading1"/>
      </w:pPr>
      <w:r>
        <w:t>Clause 6.1.4 AI system impact assessment</w:t>
      </w:r>
    </w:p>
    <w:p>
      <w:r>
        <w:t>The organization defines a process for assessing the potential consequences for individuals, groups of individuals and societies that can result from the development, provision or use of AI systems. The assessment considers the technical and societal context and the jurisdictions where the system is deployed. Results are documented and are considered in the risk assessment. Where appropriate, results are made available to relevant interested parties.</w:t>
      </w:r>
    </w:p>
    <w:p>
      <w:pPr>
        <w:pStyle w:val="Heading1"/>
      </w:pPr>
      <w:r>
        <w:t>Clause 7 Support</w:t>
      </w:r>
    </w:p>
    <w:p>
      <w:r>
        <w:t>The organization provides the resources, competence, awareness, communication and documented information needed for the AIMS, including competence of people working on AI systems.</w:t>
      </w:r>
    </w:p>
    <w:p>
      <w:pPr>
        <w:pStyle w:val="Heading1"/>
      </w:pPr>
      <w:r>
        <w:t>Clause 8 Operation</w:t>
      </w:r>
    </w:p>
    <w:p>
      <w:r>
        <w:t>The organization plans, implements and controls the processes needed to meet AIMS requirements. It performs AI risk assessments (8.2), implements the AI risk treatment plan (8.3) and performs AI system impact assessments (8.4) at planned intervals or when significant changes are proposed or occur, retaining documented results.</w:t>
      </w:r>
    </w:p>
    <w:p>
      <w:pPr>
        <w:pStyle w:val="Heading1"/>
      </w:pPr>
      <w:r>
        <w:t>Clause 9 Performance evaluation</w:t>
      </w:r>
    </w:p>
    <w:p>
      <w:r>
        <w:t>The organization monitors, measures, analyses and evaluates the AIMS, conducts internal audits at planned intervals, and top management reviews the AIMS.</w:t>
      </w:r>
    </w:p>
    <w:p>
      <w:pPr>
        <w:pStyle w:val="Heading1"/>
      </w:pPr>
      <w:r>
        <w:t>Clause 10 Improvement</w:t>
      </w:r>
    </w:p>
    <w:p>
      <w:r>
        <w:t>The organization continually improves the AIMS and reacts to nonconformities by taking corrective action.</w:t>
      </w:r>
    </w:p>
    <w:p>
      <w:pPr>
        <w:pStyle w:val="Heading1"/>
      </w:pPr>
      <w:r>
        <w:t>Annex A Reference control objectives and controls</w:t>
      </w:r>
    </w:p>
    <w:p>
      <w:r>
        <w:t>Annex A lists reference controls grouped by objective, including: policies related to AI; internal organization; resources for AI systems; assessing impacts of AI systems; AI system life cycle; data for AI systems; information for interested parties; use of AI systems; and third-party and customer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42001 Overview (Sample)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