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664" w:after="680"/>
        <w:jc w:val="center"/>
      </w:pPr>
      <w:r>
        <w:rPr>
          <w:rFonts w:ascii="Aptos Display" w:hAnsi="Aptos Display"/>
          <w:b/>
          <w:color w:val="000000"/>
          <w:sz w:val="56"/>
        </w:rPr>
        <w:t>ADD Code and RDM Workflow</w:t>
      </w:r>
    </w:p>
    <w:p>
      <w:pPr>
        <w:spacing w:after="100"/>
        <w:jc w:val="center"/>
      </w:pPr>
      <w:r>
        <w:rPr>
          <w:rFonts w:ascii="Aptos" w:hAnsi="Aptos"/>
          <w:color w:val="5A646E"/>
          <w:sz w:val="22"/>
        </w:rPr>
        <w:t>Prepared by</w:t>
      </w:r>
    </w:p>
    <w:p>
      <w:pPr>
        <w:spacing w:after="0"/>
        <w:jc w:val="center"/>
      </w:pPr>
      <w:r>
        <w:rPr>
          <w:rFonts w:ascii="Aptos" w:hAnsi="Aptos"/>
          <w:b/>
          <w:color w:val="000000"/>
          <w:sz w:val="34"/>
        </w:rPr>
        <w:t>Yogita Ganage</w:t>
      </w:r>
    </w:p>
    <w:p>
      <w:pPr>
        <w:pageBreakBefore/>
      </w:pPr>
      <w:r>
        <w:rPr>
          <w:b/>
        </w:rPr>
        <w:t xml:space="preserve">Purpose. </w:t>
      </w:r>
      <w:r>
        <w:t>This guide explains why the ADD code is used, how it identifies source values that are not yet present in the approved RDM table, and how those candidates move through a semantic model and Power Automate back to SharePoint. The ADD table is a handover queue for review and synchronization; it does not approve or conform a value by itself.</w:t>
      </w:r>
    </w:p>
    <w:p>
      <w:pPr>
        <w:pStyle w:val="Heading1"/>
        <w:keepNext/>
      </w:pPr>
      <w:r>
        <w:t>1. Why we create an ADD table</w:t>
      </w:r>
    </w:p>
    <w:p>
      <w:r>
        <w:t>Operational systems can introduce new reference values over time, such as a new status, pathway, referral source, or system user. The business owns the approved reference values in SharePoint. Engineers therefore need a repeatable way to surface new values without hard-coding them or treating them as approved automatically.</w:t>
      </w:r>
    </w:p>
    <w:p>
      <w:r>
        <w:t>The ADD notebook compares values found in Silver source data with the current Silver copy of the relevant RDM SharePoint list. Values with no match are written to a dedicated table named silver_rdm_&lt;name&gt;_add. The business can then review those candidates through the downstream workflow.</w:t>
      </w:r>
    </w:p>
    <w:p>
      <w:pPr>
        <w:pStyle w:val="Heading1"/>
        <w:keepNext/>
      </w:pPr>
      <w:r>
        <w:t>2. Where the notebook sits</w:t>
      </w:r>
    </w:p>
    <w:p>
      <w:r>
        <w:t>The notebook is maintained in the Silver workspace because it reads Silver transactional or staging data and writes Silver RDM ADD tables. In the documented setup, the notebook is Create RDM Sharepoint List Additions in vhgfbc01dev_silver &gt; notebooks &gt; RDM. The UDM load pipeline runs the ADD notebook after the relevant Silver tables have been built, so the comparison uses the latest available source data.</w:t>
      </w:r>
    </w:p>
    <w:tbl>
      <w:tblPr>
        <w:tblW w:type="auto" w:w="0"/>
        <w:jc w:val="center"/>
        <w:tblLayout w:type="fixed"/>
        <w:tblLook w:firstColumn="1" w:firstRow="1" w:lastColumn="0" w:lastRow="0" w:noHBand="0" w:noVBand="1" w:val="04A0"/>
        <w:tblBorders>
          <w:top w:val="single" w:sz="6" w:color="D9E1E8"/>
          <w:left w:val="single" w:sz="6" w:color="D9E1E8"/>
          <w:bottom w:val="single" w:sz="6" w:color="D9E1E8"/>
          <w:right w:val="single" w:sz="6" w:color="D9E1E8"/>
          <w:insideH w:val="single" w:sz="6" w:color="D9E1E8"/>
          <w:insideV w:val="single" w:sz="6" w:color="D9E1E8"/>
        </w:tblBorders>
      </w:tblPr>
      <w:tblGrid>
        <w:gridCol w:w="4997"/>
        <w:gridCol w:w="4997"/>
      </w:tblGrid>
      <w:tr>
        <w:trPr>
          <w:tblHeader w:val="true"/>
        </w:trPr>
        <w:tc>
          <w:tcPr>
            <w:tcW w:type="dxa" w:w="2088"/>
            <w:shd w:fill="17365D"/>
            <w:vAlign w:val="center"/>
            <w:tcMar>
              <w:top w:w="110" w:type="dxa"/>
              <w:start w:w="120" w:type="dxa"/>
              <w:bottom w:w="110" w:type="dxa"/>
              <w:end w:w="120" w:type="dxa"/>
            </w:tcMar>
          </w:tcPr>
          <w:p>
            <w:r>
              <w:rPr>
                <w:b/>
                <w:color w:val="FFFFFF"/>
                <w:sz w:val="19"/>
              </w:rPr>
              <w:t>Part</w:t>
            </w:r>
          </w:p>
        </w:tc>
        <w:tc>
          <w:tcPr>
            <w:tcW w:type="dxa" w:w="8280"/>
            <w:shd w:fill="17365D"/>
            <w:vAlign w:val="center"/>
            <w:tcMar>
              <w:top w:w="110" w:type="dxa"/>
              <w:start w:w="120" w:type="dxa"/>
              <w:bottom w:w="110" w:type="dxa"/>
              <w:end w:w="120" w:type="dxa"/>
            </w:tcMar>
          </w:tcPr>
          <w:p>
            <w:r>
              <w:rPr>
                <w:b/>
                <w:color w:val="FFFFFF"/>
                <w:sz w:val="19"/>
              </w:rPr>
              <w:t>Role in the flow</w:t>
            </w:r>
          </w:p>
        </w:tc>
      </w:tr>
      <w:tr>
        <w:tc>
          <w:tcPr>
            <w:tcW w:type="dxa" w:w="2088"/>
            <w:tcMar>
              <w:top w:w="110" w:type="dxa"/>
              <w:start w:w="120" w:type="dxa"/>
              <w:bottom w:w="110" w:type="dxa"/>
              <w:end w:w="120" w:type="dxa"/>
            </w:tcMar>
            <w:vAlign w:val="center"/>
            <w:shd w:fill="F4F7FA"/>
          </w:tcPr>
          <w:p>
            <w:r>
              <w:rPr>
                <w:b/>
                <w:sz w:val="19"/>
              </w:rPr>
              <w:t>Input</w:t>
            </w:r>
          </w:p>
        </w:tc>
        <w:tc>
          <w:tcPr>
            <w:tcW w:type="dxa" w:w="8280"/>
            <w:tcMar>
              <w:top w:w="110" w:type="dxa"/>
              <w:start w:w="120" w:type="dxa"/>
              <w:bottom w:w="110" w:type="dxa"/>
              <w:end w:w="120" w:type="dxa"/>
            </w:tcMar>
            <w:vAlign w:val="center"/>
            <w:shd w:fill="F4F7FA"/>
          </w:tcPr>
          <w:p>
            <w:r>
              <w:rPr>
                <w:sz w:val="19"/>
              </w:rPr>
              <w:t>Current source values from the relevant Silver table or tables.</w:t>
            </w:r>
          </w:p>
        </w:tc>
      </w:tr>
      <w:tr>
        <w:tc>
          <w:tcPr>
            <w:tcW w:type="dxa" w:w="2088"/>
            <w:tcMar>
              <w:top w:w="110" w:type="dxa"/>
              <w:start w:w="120" w:type="dxa"/>
              <w:bottom w:w="110" w:type="dxa"/>
              <w:end w:w="120" w:type="dxa"/>
            </w:tcMar>
            <w:vAlign w:val="center"/>
          </w:tcPr>
          <w:p>
            <w:r>
              <w:rPr>
                <w:b/>
                <w:sz w:val="19"/>
              </w:rPr>
              <w:t>Reference</w:t>
            </w:r>
          </w:p>
        </w:tc>
        <w:tc>
          <w:tcPr>
            <w:tcW w:type="dxa" w:w="8280"/>
            <w:tcMar>
              <w:top w:w="110" w:type="dxa"/>
              <w:start w:w="120" w:type="dxa"/>
              <w:bottom w:w="110" w:type="dxa"/>
              <w:end w:w="120" w:type="dxa"/>
            </w:tcMar>
            <w:vAlign w:val="center"/>
          </w:tcPr>
          <w:p>
            <w:r>
              <w:rPr>
                <w:sz w:val="19"/>
              </w:rPr>
              <w:t>The ingested SharePoint RDM table, named silver_rdm_&lt;name&gt;.</w:t>
            </w:r>
          </w:p>
        </w:tc>
      </w:tr>
      <w:tr>
        <w:tc>
          <w:tcPr>
            <w:tcW w:type="dxa" w:w="2088"/>
            <w:tcMar>
              <w:top w:w="110" w:type="dxa"/>
              <w:start w:w="120" w:type="dxa"/>
              <w:bottom w:w="110" w:type="dxa"/>
              <w:end w:w="120" w:type="dxa"/>
            </w:tcMar>
            <w:vAlign w:val="center"/>
            <w:shd w:fill="F4F7FA"/>
          </w:tcPr>
          <w:p>
            <w:r>
              <w:rPr>
                <w:b/>
                <w:sz w:val="19"/>
              </w:rPr>
              <w:t>Output</w:t>
            </w:r>
          </w:p>
        </w:tc>
        <w:tc>
          <w:tcPr>
            <w:tcW w:type="dxa" w:w="8280"/>
            <w:tcMar>
              <w:top w:w="110" w:type="dxa"/>
              <w:start w:w="120" w:type="dxa"/>
              <w:bottom w:w="110" w:type="dxa"/>
              <w:end w:w="120" w:type="dxa"/>
            </w:tcMar>
            <w:vAlign w:val="center"/>
            <w:shd w:fill="F4F7FA"/>
          </w:tcPr>
          <w:p>
            <w:r>
              <w:rPr>
                <w:sz w:val="19"/>
              </w:rPr>
              <w:t>Only unmatched candidate values, written to silver_rdm_&lt;name&gt;_add.</w:t>
            </w:r>
          </w:p>
        </w:tc>
      </w:tr>
      <w:tr>
        <w:tc>
          <w:tcPr>
            <w:tcW w:type="dxa" w:w="2088"/>
            <w:tcMar>
              <w:top w:w="110" w:type="dxa"/>
              <w:start w:w="120" w:type="dxa"/>
              <w:bottom w:w="110" w:type="dxa"/>
              <w:end w:w="120" w:type="dxa"/>
            </w:tcMar>
            <w:vAlign w:val="center"/>
          </w:tcPr>
          <w:p>
            <w:r>
              <w:rPr>
                <w:b/>
                <w:sz w:val="19"/>
              </w:rPr>
              <w:t>Next consumer</w:t>
            </w:r>
          </w:p>
        </w:tc>
        <w:tc>
          <w:tcPr>
            <w:tcW w:type="dxa" w:w="8280"/>
            <w:tcMar>
              <w:top w:w="110" w:type="dxa"/>
              <w:start w:w="120" w:type="dxa"/>
              <w:bottom w:w="110" w:type="dxa"/>
              <w:end w:w="120" w:type="dxa"/>
            </w:tcMar>
            <w:vAlign w:val="center"/>
          </w:tcPr>
          <w:p>
            <w:r>
              <w:rPr>
                <w:sz w:val="19"/>
              </w:rPr>
              <w:t>A semantic model in the dedicated RDM datasets workspace, then Power Automate.</w:t>
            </w:r>
          </w:p>
        </w:tc>
      </w:tr>
    </w:tbl>
    <w:p>
      <w:pPr>
        <w:pStyle w:val="Heading1"/>
        <w:keepNext/>
      </w:pPr>
      <w:r>
        <w:t>3. Comparison logic</w:t>
      </w:r>
    </w:p>
    <w:p>
      <w:r>
        <w:t>At a high level, the code takes distinct source values, normalises them where appropriate, and checks whether each value already exists in the corresponding RDM table. A left join keeps the source-side candidate available; rows for which the RDM key is null after the join are the unmatched values. Those values are written to the ADD table.</w:t>
      </w:r>
    </w:p>
    <w:p>
      <w:pPr>
        <w:spacing w:before="40" w:after="60"/>
      </w:pPr>
      <w:r>
        <w:rPr>
          <w:b/>
          <w:color w:val="17365D"/>
        </w:rPr>
        <w:t>Illustrative SQL pattern</w:t>
      </w:r>
    </w:p>
    <w:p>
      <w:pPr>
        <w:spacing w:before="60" w:after="140"/>
        <w:ind w:left="259" w:right="173"/>
        <w:shd w:fill="F3F5F7"/>
      </w:pPr>
      <w:r>
        <w:rPr>
          <w:rFonts w:ascii="Consolas" w:hAnsi="Consolas"/>
          <w:color w:val="243447"/>
          <w:sz w:val="18"/>
        </w:rPr>
        <w:t>CREATE OR REPLACE TABLE silver_rdm_&lt;name&gt;_add AS</w:t>
      </w:r>
      <w:r>
        <w:br/>
      </w:r>
      <w:r>
        <w:rPr>
          <w:rFonts w:ascii="Consolas" w:hAnsi="Consolas"/>
          <w:color w:val="243447"/>
          <w:sz w:val="18"/>
        </w:rPr>
        <w:t>SELECT DISTINCT s.&lt;source_value&gt; AS &lt;rdm_value&gt;</w:t>
      </w:r>
      <w:r>
        <w:br/>
      </w:r>
      <w:r>
        <w:rPr>
          <w:rFonts w:ascii="Consolas" w:hAnsi="Consolas"/>
          <w:color w:val="243447"/>
          <w:sz w:val="18"/>
        </w:rPr>
        <w:t>FROM &lt;silver_source_table&gt; AS s</w:t>
      </w:r>
      <w:r>
        <w:br/>
      </w:r>
      <w:r>
        <w:rPr>
          <w:rFonts w:ascii="Consolas" w:hAnsi="Consolas"/>
          <w:color w:val="243447"/>
          <w:sz w:val="18"/>
        </w:rPr>
        <w:t>LEFT JOIN silver_rdm_&lt;name&gt; AS r</w:t>
      </w:r>
      <w:r>
        <w:br/>
      </w:r>
      <w:r>
        <w:rPr>
          <w:rFonts w:ascii="Consolas" w:hAnsi="Consolas"/>
          <w:color w:val="243447"/>
          <w:sz w:val="18"/>
        </w:rPr>
        <w:t xml:space="preserve">  ON TRIM(LOWER(s.&lt;source_value&gt;)) = TRIM(LOWER(r.&lt;rdm_value&gt;))</w:t>
      </w:r>
      <w:r>
        <w:br/>
      </w:r>
      <w:r>
        <w:rPr>
          <w:rFonts w:ascii="Consolas" w:hAnsi="Consolas"/>
          <w:color w:val="243447"/>
          <w:sz w:val="18"/>
        </w:rPr>
        <w:t>WHERE s.&lt;source_value&gt; IS NOT NULL</w:t>
      </w:r>
      <w:r>
        <w:br/>
      </w:r>
      <w:r>
        <w:rPr>
          <w:rFonts w:ascii="Consolas" w:hAnsi="Consolas"/>
          <w:color w:val="243447"/>
          <w:sz w:val="18"/>
        </w:rPr>
        <w:t xml:space="preserve">  AND r.&lt;rdm_value&gt; IS NULL;</w:t>
      </w:r>
    </w:p>
    <w:p>
      <w:r>
        <w:t>This is a template for explaining the pattern, not a production-ready cell. Replace the table and column placeholders with the specific RDM mapping, and preserve that section’s required output columns, source-specific filters, and deduplication rules. TRIM and LOWER help prevent casing or surrounding-space differences from creating false “new” values; apply only the normalisation appropriate to that attribute.</w:t>
      </w:r>
    </w:p>
    <w:p>
      <w:pPr>
        <w:pStyle w:val="Heading1"/>
        <w:keepNext/>
      </w:pPr>
      <w:r>
        <w:t>4. End-to-end RDM loop</w:t>
      </w:r>
    </w:p>
    <w:p>
      <w:r>
        <w:t>The ADD code is one part of a recurring loop. It finds candidate values; SharePoint remains the business-managed list, and the Dataflow keeps its Silver copy aligned.</w:t>
      </w:r>
    </w:p>
    <w:p>
      <w:pPr>
        <w:keepLines/>
        <w:spacing w:after="100"/>
      </w:pPr>
      <w:r>
        <w:rPr>
          <w:b/>
          <w:color w:val="17365D"/>
        </w:rPr>
        <w:t xml:space="preserve">1  Build source Silver tables  </w:t>
      </w:r>
      <w:r>
        <w:t>The service or UDM pipeline builds the relevant Silver data first.</w:t>
      </w:r>
    </w:p>
    <w:p>
      <w:pPr>
        <w:keepLines/>
        <w:spacing w:after="100"/>
      </w:pPr>
      <w:r>
        <w:rPr>
          <w:b/>
          <w:color w:val="17365D"/>
        </w:rPr>
        <w:t xml:space="preserve">2  Run ADD code  </w:t>
      </w:r>
      <w:r>
        <w:t>The notebook compares source values with silver_rdm_&lt;name&gt; and writes unmatched values to silver_rdm_&lt;name&gt;_add.</w:t>
      </w:r>
    </w:p>
    <w:p>
      <w:pPr>
        <w:keepLines/>
        <w:spacing w:after="100"/>
      </w:pPr>
      <w:r>
        <w:rPr>
          <w:b/>
          <w:color w:val="17365D"/>
        </w:rPr>
        <w:t xml:space="preserve">3  Expose the ADD table  </w:t>
      </w:r>
      <w:r>
        <w:t>A shortcut to the PROD Silver ADD table is available in vhgfbc01_silver_rdm_datasets. A Direct Lake semantic model is created over the ADD table.</w:t>
      </w:r>
    </w:p>
    <w:p>
      <w:pPr>
        <w:keepLines/>
        <w:spacing w:after="100"/>
      </w:pPr>
      <w:r>
        <w:rPr>
          <w:b/>
          <w:color w:val="17365D"/>
        </w:rPr>
        <w:t xml:space="preserve">4  Run Power Automate  </w:t>
      </w:r>
      <w:r>
        <w:t>The flow queries the semantic model and creates the candidate items in the relevant SharePoint list for business review/processing.</w:t>
      </w:r>
    </w:p>
    <w:p>
      <w:pPr>
        <w:keepLines/>
        <w:spacing w:after="100"/>
      </w:pPr>
      <w:r>
        <w:rPr>
          <w:b/>
          <w:color w:val="17365D"/>
        </w:rPr>
        <w:t xml:space="preserve">5  Ingest the updated SharePoint list  </w:t>
      </w:r>
      <w:r>
        <w:t>On the next scheduled Dataflow Gen2 run, the SharePoint list is ingested into silver_rdm_&lt;name&gt;. The RDM table now reflects the latest list contents.</w:t>
      </w:r>
    </w:p>
    <w:p>
      <w:pPr>
        <w:keepLines/>
        <w:spacing w:after="100"/>
      </w:pPr>
      <w:r>
        <w:rPr>
          <w:b/>
          <w:color w:val="17365D"/>
        </w:rPr>
        <w:t xml:space="preserve">6  Repeat the comparison  </w:t>
      </w:r>
      <w:r>
        <w:t>The next ADD run compares current source values against the refreshed RDM table. Values already present in RDM no longer appear as new candidates.</w:t>
      </w:r>
    </w:p>
    <w:p>
      <w:pPr>
        <w:pStyle w:val="Heading1"/>
        <w:keepNext/>
        <w:pageBreakBefore/>
      </w:pPr>
      <w:r>
        <w:t>RDM Workflow Diagram</w:t>
      </w:r>
    </w:p>
    <w:p>
      <w:pPr>
        <w:pStyle w:val="Heading1"/>
        <w:keepNext/>
        <w:pageBreakBefore/>
      </w:pPr>
      <w:r>
        <w:t>6. Important implementation points</w:t>
      </w:r>
    </w:p>
    <w:p>
      <w:pPr>
        <w:pStyle w:val="ListBullet"/>
        <w:spacing w:after="60"/>
      </w:pPr>
      <w:r>
        <w:t>Create a separate ADD section/table for each RDM attribute or list, following the existing notebook pattern.</w:t>
      </w:r>
    </w:p>
    <w:p>
      <w:pPr>
        <w:pStyle w:val="ListBullet"/>
        <w:spacing w:after="60"/>
      </w:pPr>
      <w:r>
        <w:t>Use the correct business-approved RDM table as the comparison target. Do not compare against an unrelated RDM or lookup list.</w:t>
      </w:r>
    </w:p>
    <w:p>
      <w:pPr>
        <w:pStyle w:val="ListBullet"/>
        <w:spacing w:after="60"/>
      </w:pPr>
      <w:r>
        <w:t>Normalise comparison keys consistently, typically with TRIM and LOWER where suitable, to reduce duplicates caused by case or whitespace.</w:t>
      </w:r>
    </w:p>
    <w:p>
      <w:pPr>
        <w:pStyle w:val="ListBullet"/>
        <w:spacing w:after="60"/>
      </w:pPr>
      <w:r>
        <w:t>Keep ADD values as candidates. They are not approved conformed values until handled through the business process.</w:t>
      </w:r>
    </w:p>
    <w:p>
      <w:pPr>
        <w:pStyle w:val="ListBullet"/>
        <w:spacing w:after="60"/>
      </w:pPr>
      <w:r>
        <w:t>The semantic model is built in vhgfbc01_silver_rdm_datasets and points to the PROD Silver ADD table through a lakehouse shortcut. Direct Lake models do not need a scheduled refresh for this flow.</w:t>
      </w:r>
    </w:p>
    <w:p>
      <w:pPr>
        <w:pStyle w:val="ListBullet"/>
        <w:spacing w:after="60"/>
      </w:pPr>
      <w:r>
        <w:t>Power Automate reads the semantic model and creates SharePoint items. Confirm the flow maps the right source value and system identifier to the correct SharePoint columns.</w:t>
      </w:r>
    </w:p>
    <w:p>
      <w:pPr>
        <w:pStyle w:val="ListBullet"/>
        <w:spacing w:after="60"/>
      </w:pPr>
      <w:r>
        <w:t>The scheduled Dataflow Gen2 imports the SharePoint list into silver_rdm_&lt;name&gt;. The SharePoint-to-Silver ingestion and the ADD-to-SharePoint automation are separate steps in the loop.</w:t>
      </w:r>
    </w:p>
    <w:p>
      <w:pPr>
        <w:pStyle w:val="ListBullet"/>
        <w:spacing w:after="60"/>
      </w:pPr>
      <w:r>
        <w:t>ADD tables are temporary handover outputs in the documented setup. The cleanup notebook is scheduled after the Power Automate run; do not clear an ADD table before the flow has consumed it.</w:t>
      </w:r>
    </w:p>
    <w:p>
      <w:pPr>
        <w:pStyle w:val="ListBullet"/>
        <w:spacing w:after="60"/>
      </w:pPr>
      <w:r>
        <w:t>After notebook edits, check that pipeline schedules remain enabled and validate the end-to-end path in the intended environment.</w:t>
      </w:r>
    </w:p>
    <w:p>
      <w:pPr>
        <w:pStyle w:val="Heading1"/>
        <w:keepNext/>
        <w:pageBreakBefore/>
      </w:pPr>
      <w:r>
        <w:t>7. Validation checklist</w:t>
      </w:r>
    </w:p>
    <w:tbl>
      <w:tblPr>
        <w:tblW w:type="auto" w:w="0"/>
        <w:jc w:val="center"/>
        <w:tblLayout w:type="fixed"/>
        <w:tblLook w:firstColumn="1" w:firstRow="1" w:lastColumn="0" w:lastRow="0" w:noHBand="0" w:noVBand="1" w:val="04A0"/>
        <w:tblBorders>
          <w:top w:val="single" w:sz="6" w:color="D9E1E8"/>
          <w:left w:val="single" w:sz="6" w:color="D9E1E8"/>
          <w:bottom w:val="single" w:sz="6" w:color="D9E1E8"/>
          <w:right w:val="single" w:sz="6" w:color="D9E1E8"/>
          <w:insideH w:val="single" w:sz="6" w:color="D9E1E8"/>
          <w:insideV w:val="single" w:sz="6" w:color="D9E1E8"/>
        </w:tblBorders>
      </w:tblPr>
      <w:tblGrid>
        <w:gridCol w:w="4997"/>
        <w:gridCol w:w="4997"/>
      </w:tblGrid>
      <w:tr>
        <w:trPr>
          <w:tblHeader w:val="true"/>
        </w:trPr>
        <w:tc>
          <w:tcPr>
            <w:tcW w:type="dxa" w:w="2232"/>
            <w:shd w:fill="17365D"/>
            <w:tcMar>
              <w:top w:w="110" w:type="dxa"/>
              <w:start w:w="120" w:type="dxa"/>
              <w:bottom w:w="110" w:type="dxa"/>
              <w:end w:w="120" w:type="dxa"/>
            </w:tcMar>
          </w:tcPr>
          <w:p>
            <w:r>
              <w:rPr>
                <w:b/>
                <w:color w:val="FFFFFF"/>
                <w:sz w:val="19"/>
              </w:rPr>
              <w:t>Check</w:t>
            </w:r>
          </w:p>
        </w:tc>
        <w:tc>
          <w:tcPr>
            <w:tcW w:type="dxa" w:w="8136"/>
            <w:shd w:fill="17365D"/>
            <w:tcMar>
              <w:top w:w="110" w:type="dxa"/>
              <w:start w:w="120" w:type="dxa"/>
              <w:bottom w:w="110" w:type="dxa"/>
              <w:end w:w="120" w:type="dxa"/>
            </w:tcMar>
          </w:tcPr>
          <w:p>
            <w:r>
              <w:rPr>
                <w:b/>
                <w:color w:val="FFFFFF"/>
                <w:sz w:val="19"/>
              </w:rPr>
              <w:t>What to verify</w:t>
            </w:r>
          </w:p>
        </w:tc>
      </w:tr>
      <w:tr>
        <w:tc>
          <w:tcPr>
            <w:tcW w:type="dxa" w:w="2232"/>
            <w:tcMar>
              <w:top w:w="110" w:type="dxa"/>
              <w:start w:w="120" w:type="dxa"/>
              <w:bottom w:w="110" w:type="dxa"/>
              <w:end w:w="120" w:type="dxa"/>
            </w:tcMar>
            <w:vAlign w:val="center"/>
            <w:shd w:fill="F4F7FA"/>
          </w:tcPr>
          <w:p>
            <w:r>
              <w:rPr>
                <w:b/>
                <w:sz w:val="18"/>
              </w:rPr>
              <w:t>Before running</w:t>
            </w:r>
          </w:p>
        </w:tc>
        <w:tc>
          <w:tcPr>
            <w:tcW w:type="dxa" w:w="8136"/>
            <w:tcMar>
              <w:top w:w="110" w:type="dxa"/>
              <w:start w:w="120" w:type="dxa"/>
              <w:bottom w:w="110" w:type="dxa"/>
              <w:end w:w="120" w:type="dxa"/>
            </w:tcMar>
            <w:vAlign w:val="center"/>
            <w:shd w:fill="F4F7FA"/>
          </w:tcPr>
          <w:p>
            <w:r>
              <w:rPr>
                <w:sz w:val="18"/>
              </w:rPr>
              <w:t>Confirm source and RDM tables exist; confirm the source and RDM comparison columns are correct.</w:t>
            </w:r>
          </w:p>
        </w:tc>
      </w:tr>
      <w:tr>
        <w:tc>
          <w:tcPr>
            <w:tcW w:type="dxa" w:w="2232"/>
            <w:tcMar>
              <w:top w:w="110" w:type="dxa"/>
              <w:start w:w="120" w:type="dxa"/>
              <w:bottom w:w="110" w:type="dxa"/>
              <w:end w:w="120" w:type="dxa"/>
            </w:tcMar>
            <w:vAlign w:val="center"/>
          </w:tcPr>
          <w:p>
            <w:r>
              <w:rPr>
                <w:b/>
                <w:sz w:val="18"/>
              </w:rPr>
              <w:t>After ADD code</w:t>
            </w:r>
          </w:p>
        </w:tc>
        <w:tc>
          <w:tcPr>
            <w:tcW w:type="dxa" w:w="8136"/>
            <w:tcMar>
              <w:top w:w="110" w:type="dxa"/>
              <w:start w:w="120" w:type="dxa"/>
              <w:bottom w:w="110" w:type="dxa"/>
              <w:end w:w="120" w:type="dxa"/>
            </w:tcMar>
            <w:vAlign w:val="center"/>
          </w:tcPr>
          <w:p>
            <w:r>
              <w:rPr>
                <w:sz w:val="18"/>
              </w:rPr>
              <w:t>Check output table name, row count, nulls, duplicates, and a few sample values against the source and RDM tables.</w:t>
            </w:r>
          </w:p>
        </w:tc>
      </w:tr>
      <w:tr>
        <w:tc>
          <w:tcPr>
            <w:tcW w:type="dxa" w:w="2232"/>
            <w:tcMar>
              <w:top w:w="110" w:type="dxa"/>
              <w:start w:w="120" w:type="dxa"/>
              <w:bottom w:w="110" w:type="dxa"/>
              <w:end w:w="120" w:type="dxa"/>
            </w:tcMar>
            <w:vAlign w:val="center"/>
            <w:shd w:fill="F4F7FA"/>
          </w:tcPr>
          <w:p>
            <w:r>
              <w:rPr>
                <w:b/>
                <w:sz w:val="18"/>
              </w:rPr>
              <w:t>Semantic model</w:t>
            </w:r>
          </w:p>
        </w:tc>
        <w:tc>
          <w:tcPr>
            <w:tcW w:type="dxa" w:w="8136"/>
            <w:tcMar>
              <w:top w:w="110" w:type="dxa"/>
              <w:start w:w="120" w:type="dxa"/>
              <w:bottom w:w="110" w:type="dxa"/>
              <w:end w:w="120" w:type="dxa"/>
            </w:tcMar>
            <w:vAlign w:val="center"/>
            <w:shd w:fill="F4F7FA"/>
          </w:tcPr>
          <w:p>
            <w:r>
              <w:rPr>
                <w:sz w:val="18"/>
              </w:rPr>
              <w:t>Confirm the model uses the intended ADD table and its row count matches the table.</w:t>
            </w:r>
          </w:p>
        </w:tc>
      </w:tr>
      <w:tr>
        <w:tc>
          <w:tcPr>
            <w:tcW w:type="dxa" w:w="2232"/>
            <w:tcMar>
              <w:top w:w="110" w:type="dxa"/>
              <w:start w:w="120" w:type="dxa"/>
              <w:bottom w:w="110" w:type="dxa"/>
              <w:end w:w="120" w:type="dxa"/>
            </w:tcMar>
            <w:vAlign w:val="center"/>
          </w:tcPr>
          <w:p>
            <w:r>
              <w:rPr>
                <w:b/>
                <w:sz w:val="18"/>
              </w:rPr>
              <w:t>Power Automate</w:t>
            </w:r>
          </w:p>
        </w:tc>
        <w:tc>
          <w:tcPr>
            <w:tcW w:type="dxa" w:w="8136"/>
            <w:tcMar>
              <w:top w:w="110" w:type="dxa"/>
              <w:start w:w="120" w:type="dxa"/>
              <w:bottom w:w="110" w:type="dxa"/>
              <w:end w:w="120" w:type="dxa"/>
            </w:tcMar>
            <w:vAlign w:val="center"/>
          </w:tcPr>
          <w:p>
            <w:r>
              <w:rPr>
                <w:sz w:val="18"/>
              </w:rPr>
              <w:t>Run a controlled test; verify item creation and column mapping in the correct SharePoint list.</w:t>
            </w:r>
          </w:p>
        </w:tc>
      </w:tr>
      <w:tr>
        <w:tc>
          <w:tcPr>
            <w:tcW w:type="dxa" w:w="2232"/>
            <w:tcMar>
              <w:top w:w="110" w:type="dxa"/>
              <w:start w:w="120" w:type="dxa"/>
              <w:bottom w:w="110" w:type="dxa"/>
              <w:end w:w="120" w:type="dxa"/>
            </w:tcMar>
            <w:vAlign w:val="center"/>
            <w:shd w:fill="F4F7FA"/>
          </w:tcPr>
          <w:p>
            <w:r>
              <w:rPr>
                <w:b/>
                <w:sz w:val="18"/>
              </w:rPr>
              <w:t>Next Dataflow run</w:t>
            </w:r>
          </w:p>
        </w:tc>
        <w:tc>
          <w:tcPr>
            <w:tcW w:type="dxa" w:w="8136"/>
            <w:tcMar>
              <w:top w:w="110" w:type="dxa"/>
              <w:start w:w="120" w:type="dxa"/>
              <w:bottom w:w="110" w:type="dxa"/>
              <w:end w:w="120" w:type="dxa"/>
            </w:tcMar>
            <w:vAlign w:val="center"/>
            <w:shd w:fill="F4F7FA"/>
          </w:tcPr>
          <w:p>
            <w:r>
              <w:rPr>
                <w:sz w:val="18"/>
              </w:rPr>
              <w:t>Confirm the new SharePoint items appear in silver_rdm_&lt;name&gt; and are excluded from subsequent ADD output.</w:t>
            </w:r>
          </w:p>
        </w:tc>
      </w:tr>
      <w:tr>
        <w:tc>
          <w:tcPr>
            <w:tcW w:type="dxa" w:w="2232"/>
            <w:tcMar>
              <w:top w:w="110" w:type="dxa"/>
              <w:start w:w="120" w:type="dxa"/>
              <w:bottom w:w="110" w:type="dxa"/>
              <w:end w:w="120" w:type="dxa"/>
            </w:tcMar>
            <w:vAlign w:val="center"/>
          </w:tcPr>
          <w:p>
            <w:r>
              <w:rPr>
                <w:b/>
                <w:sz w:val="18"/>
              </w:rPr>
              <w:t>Scheduling</w:t>
            </w:r>
          </w:p>
        </w:tc>
        <w:tc>
          <w:tcPr>
            <w:tcW w:type="dxa" w:w="8136"/>
            <w:tcMar>
              <w:top w:w="110" w:type="dxa"/>
              <w:start w:w="120" w:type="dxa"/>
              <w:bottom w:w="110" w:type="dxa"/>
              <w:end w:w="120" w:type="dxa"/>
            </w:tcMar>
            <w:vAlign w:val="center"/>
          </w:tcPr>
          <w:p>
            <w:r>
              <w:rPr>
                <w:sz w:val="18"/>
              </w:rPr>
              <w:t>Check Dataflow, pipeline, Power Automate, and post-flow cleanup schedules after changes.</w:t>
            </w:r>
          </w:p>
        </w:tc>
      </w:tr>
    </w:tbl>
    <w:p>
      <w:pPr>
        <w:pStyle w:val="Heading1"/>
        <w:keepNext/>
      </w:pPr>
      <w:r>
        <w:t>8. Summary</w:t>
      </w:r>
    </w:p>
    <w:p>
      <w:r>
        <w:t>The ADD code detects source reference values that are not yet present in the approved RDM table and places them in a separate _add table. The semantic model makes that table available to Power Automate, which sends the candidates to SharePoint. The next Dataflow run brings the updated SharePoint list back into Silver, closing the loop and preventing already-listed values from being raised again.</w:t>
      </w:r>
    </w:p>
    <w:sectPr w:rsidR="00FC693F" w:rsidRPr="0006063C" w:rsidSect="00034616">
      <w:headerReference w:type="default" r:id="rId9"/>
      <w:footerReference w:type="default" r:id="rId10"/>
      <w:headerReference w:type="first" r:id="rId11"/>
      <w:footerReference w:type="first" r:id="rId12"/>
      <w:pgSz w:w="12240" w:h="15840"/>
      <w:pgMar w:top="979"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8"/>
        <w:sz w:val="16"/>
      </w:rPr>
      <w:t xml:space="preserve">ADD Code and RDM Workflow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000000"/>
        <w:sz w:val="16"/>
      </w:rPr>
      <w:t>VHG  |  DATA PLATFORM ENGINEERING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6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 Code and RDM Workflow</dc:title>
  <dc:subject>Purpose and end-to-end workflow for RDM ADD tables in VHG DAP</dc:subject>
  <dc:creator>VHG Data Platform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