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2E7D32"/>
          <w:sz w:val="52"/>
          <w:szCs w:val="52"/>
        </w:rPr>
        <w:t xml:space="preserve">SOIL WHISPERS</w:t>
      </w:r>
    </w:p>
    <w:p>
      <w:pPr>
        <w:spacing w:after="200"/>
        <w:jc w:val="center"/>
      </w:pPr>
      <w:r>
        <w:rPr>
          <w:i/>
          <w:iCs/>
          <w:color w:val="1B5E20"/>
          <w:sz w:val="26"/>
          <w:szCs w:val="26"/>
        </w:rPr>
        <w:t xml:space="preserve">Data Gathering, Cleaning, and Preliminary Analysis</w:t>
      </w:r>
    </w:p>
    <w:p>
      <w:pPr>
        <w:spacing w:after="80" w:before="400"/>
        <w:jc w:val="center"/>
      </w:pPr>
      <w:r>
        <w:rPr>
          <w:color w:val="555555"/>
          <w:sz w:val="22"/>
          <w:szCs w:val="22"/>
        </w:rPr>
        <w:t xml:space="preserve">Week 2 Deliverable: YuvaIntern Internship Program (Revised)</w:t>
      </w:r>
    </w:p>
    <w:p>
      <w:pPr>
        <w:spacing w:after="80"/>
        <w:jc w:val="center"/>
      </w:pPr>
      <w:r>
        <w:rPr>
          <w:color w:val="555555"/>
          <w:sz w:val="22"/>
          <w:szCs w:val="22"/>
        </w:rPr>
        <w:t xml:space="preserve">Prepared by: Yogitha J</w:t>
      </w:r>
    </w:p>
    <w:p>
      <w:pPr>
        <w:spacing w:after="800"/>
        <w:jc w:val="center"/>
      </w:pPr>
      <w:r>
        <w:rPr>
          <w:color w:val="555555"/>
          <w:sz w:val="22"/>
          <w:szCs w:val="22"/>
        </w:rPr>
        <w:t xml:space="preserve">Date: 20 August 2026</w:t>
      </w:r>
    </w:p>
    <w:p>
      <w:r>
        <w:br w:type="page"/>
      </w:r>
    </w:p>
    <w:p>
      <w:pPr>
        <w:pStyle w:val="Heading1"/>
        <w:pBdr>
          <w:bottom w:val="single" w:color="2E7D32" w:sz="8" w:space="4"/>
        </w:pBdr>
        <w:spacing w:after="160" w:before="360"/>
      </w:pPr>
      <w:r>
        <w:rPr>
          <w:b/>
          <w:bCs/>
          <w:color w:val="2E7D32"/>
          <w:sz w:val="30"/>
          <w:szCs w:val="30"/>
        </w:rPr>
        <w:t xml:space="preserve">Revision Note</w:t>
      </w:r>
    </w:p>
    <w:p>
      <w:pPr>
        <w:spacing w:after="160" w:line="276"/>
      </w:pPr>
      <w:r>
        <w:rPr>
          <w:sz w:val="22"/>
          <w:szCs w:val="22"/>
        </w:rPr>
        <w:t xml:space="preserve">This is a revised version of the Week 2 submission, updated in direct response to evaluator feedback (score 59.8/100): “Enhance clarity by including figures or charts to visually support your analysis. Provide more detailed explanations for handling outliers to deepen the analytical depth.”</w:t>
      </w:r>
    </w:p>
    <w:p>
      <w:pPr>
        <w:pStyle w:val="ListParagraph"/>
        <w:numPr>
          <w:ilvl w:val="0"/>
          <w:numId w:val="2"/>
        </w:numPr>
        <w:spacing w:after="80"/>
      </w:pPr>
      <w:r>
        <w:rPr>
          <w:sz w:val="22"/>
          <w:szCs w:val="22"/>
        </w:rPr>
        <w:t xml:space="preserve">All four original charts are retained and made more prominent, each now introduced by a sentence pointing directly to what it shows before the figure appears, not just a caption after it.</w:t>
      </w:r>
    </w:p>
    <w:p>
      <w:pPr>
        <w:pStyle w:val="ListParagraph"/>
        <w:numPr>
          <w:ilvl w:val="0"/>
          <w:numId w:val="2"/>
        </w:numPr>
        <w:spacing w:after="80"/>
      </w:pPr>
      <w:r>
        <w:rPr>
          <w:sz w:val="22"/>
          <w:szCs w:val="22"/>
        </w:rPr>
        <w:t xml:space="preserve">A fifth chart was added (Figure 5) specifically to make the outlier-detection method visible, not just described in text.</w:t>
      </w:r>
    </w:p>
    <w:p>
      <w:pPr>
        <w:pStyle w:val="ListParagraph"/>
        <w:numPr>
          <w:ilvl w:val="0"/>
          <w:numId w:val="2"/>
        </w:numPr>
        <w:spacing w:after="80"/>
      </w:pPr>
      <w:r>
        <w:rPr>
          <w:sz w:val="22"/>
          <w:szCs w:val="22"/>
        </w:rPr>
        <w:t xml:space="preserve">Section 3 (Data Cleaning Plan) now explains the statistical reasoning behind the 1.5×IQR rule itself, why that specific multiplier, how it compares to a standard-deviation-based rule, and why flagging was chosen over deletion, rather than just stating that outliers were checked.</w:t>
      </w:r>
    </w:p>
    <w:p>
      <w:pPr>
        <w:pStyle w:val="Heading1"/>
        <w:pBdr>
          <w:bottom w:val="single" w:color="2E7D32" w:sz="8" w:space="4"/>
        </w:pBdr>
        <w:spacing w:after="160" w:before="360"/>
      </w:pPr>
      <w:r>
        <w:rPr>
          <w:b/>
          <w:bCs/>
          <w:color w:val="2E7D32"/>
          <w:sz w:val="30"/>
          <w:szCs w:val="30"/>
        </w:rPr>
        <w:t xml:space="preserve">1. Introduction</w:t>
      </w:r>
    </w:p>
    <w:p>
      <w:pPr>
        <w:spacing w:after="160" w:line="276"/>
      </w:pPr>
      <w:r>
        <w:rPr>
          <w:sz w:val="22"/>
          <w:szCs w:val="22"/>
        </w:rPr>
        <w:t xml:space="preserve">The Week 1 strategic plan proposed Soil Whispers, a decision dashboard that fuses satellite, weather, soil, and market data for farmers and agronomists. Putting that plan into practice starts here, at small scale. Two real, publicly available agribusiness datasets are identified below, a genuine cleaning process is documented for each, and the preliminary statistics that follow would seed the Year 1 dashboard's data layer described in the strategic plan.</w:t>
      </w:r>
    </w:p>
    <w:p>
      <w:pPr>
        <w:spacing w:after="160" w:line="276"/>
      </w:pPr>
      <w:r>
        <w:rPr>
          <w:sz w:val="22"/>
          <w:szCs w:val="22"/>
        </w:rPr>
        <w:t xml:space="preserve">Both datasets were sourced from public repositories rather than simulated. That choice matters: it means the cleaning decisions and findings below reflect the actual messiness of real agricultural data, including inconsistent records, structural zeros, and skewed distributions, rather than a tidy synthetic stand-in.</w:t>
      </w:r>
    </w:p>
    <w:p>
      <w:pPr>
        <w:spacing w:after="160" w:line="276"/>
      </w:pPr>
      <w:r>
        <w:rPr>
          <w:i/>
          <w:iCs/>
          <w:color w:val="555555"/>
          <w:sz w:val="22"/>
          <w:szCs w:val="22"/>
        </w:rPr>
        <w:t xml:space="preserve">One practical note on sourcing: both datasets were retrieved from GitHub mirrors of the original government and research data, rather than pulled live from an API. Widely used public agribusiness datasets are frequently mirrored this way, and using a mirror sidesteps API registration and key-management friction without changing the underlying data.</w:t>
      </w:r>
    </w:p>
    <w:p>
      <w:pPr>
        <w:pStyle w:val="Heading1"/>
        <w:pBdr>
          <w:bottom w:val="single" w:color="2E7D32" w:sz="8" w:space="4"/>
        </w:pBdr>
        <w:spacing w:after="160" w:before="360"/>
      </w:pPr>
      <w:r>
        <w:rPr>
          <w:b/>
          <w:bCs/>
          <w:color w:val="2E7D32"/>
          <w:sz w:val="30"/>
          <w:szCs w:val="30"/>
        </w:rPr>
        <w:t xml:space="preserve">2. Methodology</w:t>
      </w:r>
    </w:p>
    <w:p>
      <w:pPr>
        <w:spacing w:after="160" w:line="276"/>
      </w:pPr>
      <w:r>
        <w:rPr>
          <w:sz w:val="22"/>
          <w:szCs w:val="22"/>
        </w:rPr>
        <w:t xml:space="preserve">This section covers two things: which datasets were used and why, and the step-by-step process applied to clean each one before any analysis began.</w:t>
      </w:r>
    </w:p>
    <w:p>
      <w:pPr>
        <w:pStyle w:val="Heading2"/>
        <w:spacing w:after="120" w:before="280"/>
      </w:pPr>
      <w:r>
        <w:rPr>
          <w:b/>
          <w:bCs/>
          <w:color w:val="1B5E20"/>
          <w:sz w:val="24"/>
          <w:szCs w:val="24"/>
        </w:rPr>
        <w:t xml:space="preserve">2.1 Data Source Identification</w:t>
      </w:r>
    </w:p>
    <w:p>
      <w:pPr>
        <w:pStyle w:val="Heading3"/>
        <w:spacing w:after="100" w:before="200"/>
      </w:pPr>
      <w:r>
        <w:rPr>
          <w:b/>
          <w:bCs/>
          <w:i/>
          <w:iCs/>
          <w:color w:val="2E7D32"/>
          <w:sz w:val="22"/>
          <w:szCs w:val="22"/>
        </w:rPr>
        <w:t xml:space="preserve">2.1.1 Source A: Crop Recommendation Dataset (Soil &amp; Climate)</w:t>
      </w:r>
    </w:p>
    <w:p>
      <w:pPr>
        <w:spacing w:after="160" w:line="276"/>
      </w:pPr>
      <w:r>
        <w:rPr>
          <w:sz w:val="22"/>
          <w:szCs w:val="22"/>
        </w:rPr>
        <w:t xml:space="preserve">This is a record-level dataset of 2,200 samples. Each row describes the soil nutrient levels (Nitrogen, Phosphorus, Potassium), temperature, humidity, soil pH, and rainfall associated with 22 different crops. It mirrors exactly the kind of soil-sensor and weather-API data the Week 1 plan proposes to fuse (Section 2.5 of the strategic plan).</w:t>
      </w:r>
    </w:p>
    <w:p>
      <w:pPr>
        <w:pStyle w:val="ListParagraph"/>
        <w:numPr>
          <w:ilvl w:val="0"/>
          <w:numId w:val="2"/>
        </w:numPr>
        <w:spacing w:after="80"/>
      </w:pPr>
      <w:r>
        <w:rPr>
          <w:sz w:val="22"/>
          <w:szCs w:val="22"/>
        </w:rPr>
        <w:t xml:space="preserve">Type of data: numeric soil and climate features, plus a categorical crop label.</w:t>
      </w:r>
    </w:p>
    <w:p>
      <w:pPr>
        <w:pStyle w:val="ListParagraph"/>
        <w:numPr>
          <w:ilvl w:val="0"/>
          <w:numId w:val="2"/>
        </w:numPr>
        <w:spacing w:after="80"/>
      </w:pPr>
      <w:r>
        <w:rPr>
          <w:sz w:val="22"/>
          <w:szCs w:val="22"/>
        </w:rPr>
        <w:t xml:space="preserve">Potential use in visualization: scatter plots and box plots showing which rainfall and nutrient ranges suit which crops. This directly supports the “is my irrigation schedule matched to the data” business question from Week 1.</w:t>
      </w:r>
    </w:p>
    <w:p>
      <w:pPr>
        <w:pStyle w:val="Heading3"/>
        <w:spacing w:after="100" w:before="200"/>
      </w:pPr>
      <w:r>
        <w:rPr>
          <w:b/>
          <w:bCs/>
          <w:i/>
          <w:iCs/>
          <w:color w:val="2E7D32"/>
          <w:sz w:val="22"/>
          <w:szCs w:val="22"/>
        </w:rPr>
        <w:t xml:space="preserve">2.1.2 Source B: District-Level Crop Yield Dataset, India (2010–2017)</w:t>
      </w:r>
    </w:p>
    <w:p>
      <w:pPr>
        <w:spacing w:after="160" w:line="276"/>
      </w:pPr>
      <w:r>
        <w:rPr>
          <w:sz w:val="22"/>
          <w:szCs w:val="22"/>
        </w:rPr>
        <w:t xml:space="preserve">This is a district-year panel covering 20 states and 8 years. It records area, production, and yield for rice, wheat, cotton, sugarcane, and other crops.</w:t>
      </w:r>
    </w:p>
    <w:p>
      <w:pPr>
        <w:pStyle w:val="ListParagraph"/>
        <w:numPr>
          <w:ilvl w:val="0"/>
          <w:numId w:val="2"/>
        </w:numPr>
        <w:spacing w:after="80"/>
      </w:pPr>
      <w:r>
        <w:rPr>
          <w:sz w:val="22"/>
          <w:szCs w:val="22"/>
        </w:rPr>
        <w:t xml:space="preserve">Type of data: time-series, structured by district and year, across multiple crop-specific metrics.</w:t>
      </w:r>
    </w:p>
    <w:p>
      <w:pPr>
        <w:pStyle w:val="ListParagraph"/>
        <w:numPr>
          <w:ilvl w:val="0"/>
          <w:numId w:val="2"/>
        </w:numPr>
        <w:spacing w:after="80"/>
      </w:pPr>
      <w:r>
        <w:rPr>
          <w:sz w:val="22"/>
          <w:szCs w:val="22"/>
        </w:rPr>
        <w:t xml:space="preserve">Potential use in visualization: trend lines and state comparison charts. These support both the “how does this season compare to prior seasons” and the “which fields deliver the best return” business questions from Week 1.</w:t>
      </w:r>
    </w:p>
    <w:p>
      <w:pPr>
        <w:pStyle w:val="Heading2"/>
        <w:spacing w:after="120" w:before="280"/>
      </w:pPr>
      <w:r>
        <w:rPr>
          <w:b/>
          <w:bCs/>
          <w:color w:val="1B5E20"/>
          <w:sz w:val="24"/>
          <w:szCs w:val="24"/>
        </w:rPr>
        <w:t xml:space="preserve">2.2 Data Cleaning Plan</w:t>
      </w:r>
    </w:p>
    <w:p>
      <w:pPr>
        <w:pStyle w:val="Heading3"/>
        <w:spacing w:after="100" w:before="200"/>
      </w:pPr>
      <w:r>
        <w:rPr>
          <w:b/>
          <w:bCs/>
          <w:i/>
          <w:iCs/>
          <w:color w:val="2E7D32"/>
          <w:sz w:val="22"/>
          <w:szCs w:val="22"/>
        </w:rPr>
        <w:t xml:space="preserve">2.2.1 Source A: Crop Recommendation Dataset</w:t>
      </w:r>
    </w:p>
    <w:p>
      <w:pPr>
        <w:pStyle w:val="ListParagraph"/>
        <w:numPr>
          <w:ilvl w:val="0"/>
          <w:numId w:val="2"/>
        </w:numPr>
        <w:spacing w:after="80"/>
      </w:pPr>
      <w:r>
        <w:rPr>
          <w:sz w:val="22"/>
          <w:szCs w:val="22"/>
        </w:rPr>
        <w:t xml:space="preserve">Checked for exact duplicate rows. None were found (0 of 2,200).</w:t>
      </w:r>
    </w:p>
    <w:p>
      <w:pPr>
        <w:pStyle w:val="ListParagraph"/>
        <w:numPr>
          <w:ilvl w:val="0"/>
          <w:numId w:val="2"/>
        </w:numPr>
        <w:spacing w:after="80"/>
      </w:pPr>
      <w:r>
        <w:rPr>
          <w:sz w:val="22"/>
          <w:szCs w:val="22"/>
        </w:rPr>
        <w:t xml:space="preserve">Checked for structurally impossible values: negative nutrient levels, humidity outside 0–100%, pH outside 0–14, and negative rainfall. None were found, which suggests a pre-vetted source.</w:t>
      </w:r>
    </w:p>
    <w:p>
      <w:pPr>
        <w:pStyle w:val="Heading3"/>
        <w:spacing w:after="100" w:before="200"/>
      </w:pPr>
      <w:r>
        <w:rPr>
          <w:b/>
          <w:bCs/>
          <w:i/>
          <w:iCs/>
          <w:color w:val="2E7D32"/>
          <w:sz w:val="22"/>
          <w:szCs w:val="22"/>
        </w:rPr>
        <w:t xml:space="preserve">2.2.2 Outlier Detection Method, In Depth</w:t>
      </w:r>
    </w:p>
    <w:p>
      <w:pPr>
        <w:spacing w:after="160" w:line="276"/>
      </w:pPr>
      <w:r>
        <w:rPr>
          <w:sz w:val="22"/>
          <w:szCs w:val="22"/>
        </w:rPr>
        <w:t xml:space="preserve">Outliers were flagged using the interquartile range (IQR) method: for a given field, Q1 and Q3 are the 25th and 75th percentiles, IQR = Q3 − Q1, and any value below Q1 − 1.5×IQR or above Q3 + 1.5×IQR is flagged. This is the method Tukey originally proposed for box plots, and it was chosen over a simpler mean ± 3 standard-deviation rule for a specific reason: the mean and standard deviation are themselves distorted by extreme values, so a rule built on them can miss real outliers in skewed data. The IQR method is a robust statistic instead. Its breakdown point, the share of the data that could be corrupted before the statistic itself becomes unreliable, is 25%, compared to effectively 0% for the mean. Rainfall in this dataset is right-skewed (a small number of very-high-rainfall crops like rice), which is exactly the situation where a robust method matters.</w:t>
      </w:r>
    </w:p>
    <w:p>
      <w:pPr>
        <w:spacing w:after="160" w:line="276"/>
      </w:pPr>
      <w:r>
        <w:rPr>
          <w:sz w:val="22"/>
          <w:szCs w:val="22"/>
        </w:rPr>
        <w:t xml:space="preserve">Why 1.5 specifically, rather than 1 or 2: under a roughly normal distribution, the 1.5×IQR fences fall at about ±2.7 standard deviations from the mean, catching only genuinely extreme values (in a normal distribution, well under 1% of points) rather than ordinary variation. A tighter multiplier like 1.0 flags far too much of the data as “outliers” to be useful; a looser one like 3.0 risks missing real anomalies. 1.5 is the field-standard middle ground for exactly that reason, not an arbitrary convention.</w:t>
      </w:r>
    </w:p>
    <w:p>
      <w:pPr>
        <w:spacing w:after="60"/>
        <w:jc w:val="center"/>
      </w:pPr>
      <w:r>
        <w:drawing>
          <wp:inline distT="0" distB="0" distL="0" distR="0">
            <wp:extent cx="4572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743200"/>
                    </a:xfrm>
                    <a:prstGeom prst="rect">
                      <a:avLst/>
                    </a:prstGeom>
                  </pic:spPr>
                </pic:pic>
              </a:graphicData>
            </a:graphic>
          </wp:inline>
        </w:drawing>
      </w:r>
    </w:p>
    <w:p>
      <w:pPr>
        <w:spacing w:after="240"/>
        <w:jc w:val="center"/>
      </w:pPr>
      <w:r>
        <w:rPr>
          <w:i/>
          <w:iCs/>
          <w:color w:val="555555"/>
          <w:sz w:val="20"/>
          <w:szCs w:val="20"/>
        </w:rPr>
        <w:t xml:space="preserve">Figure 5. Rainfall outlier fences, all crops combined. Q1 = 64.6 mm, Q3 = 124.3 mm, IQR = 59.7 mm, giving a lower fence of −25.0 mm and an upper fence of 213.8 mm. Since rainfall cannot be negative, the lower fence has no effect here; every flagged point (red) sits above the upper fence.</w:t>
      </w:r>
    </w:p>
    <w:p>
      <w:pPr>
        <w:spacing w:after="160" w:line="276"/>
      </w:pPr>
      <w:r>
        <w:rPr>
          <w:sz w:val="22"/>
          <w:szCs w:val="22"/>
        </w:rPr>
        <w:t xml:space="preserve">Flag, don't drop, was the deliberate choice for this dataset. About 100 rainfall values and several temperature values fell outside their fences, mostly concentrated in high-rainfall crops like rice and coffee. Deleting them would have been the wrong call: a rice sample with 280mm of rainfall is not a data-entry error, it is what rice actually needs. Removing it would quietly bias the dataset toward looking like rainfall requirements are more uniform across crops than they really are, which is the opposite of what this project needs from the data. Outliers were therefore kept, but marked, so that later modeling steps in Week 3 and beyond can choose to weight or exclude them deliberately, with a documented reason, rather than have that decision made silently during cleaning.</w:t>
      </w:r>
    </w:p>
    <w:p>
      <w:pPr>
        <w:pStyle w:val="Heading3"/>
        <w:spacing w:after="100" w:before="200"/>
      </w:pPr>
      <w:r>
        <w:rPr>
          <w:b/>
          <w:bCs/>
          <w:i/>
          <w:iCs/>
          <w:color w:val="2E7D32"/>
          <w:sz w:val="22"/>
          <w:szCs w:val="22"/>
        </w:rPr>
        <w:t xml:space="preserve">2.2.3 Source B: District Crop Yield Dataset</w:t>
      </w:r>
    </w:p>
    <w:p>
      <w:pPr>
        <w:pStyle w:val="ListParagraph"/>
        <w:numPr>
          <w:ilvl w:val="0"/>
          <w:numId w:val="2"/>
        </w:numPr>
        <w:spacing w:after="80"/>
      </w:pPr>
      <w:r>
        <w:rPr>
          <w:sz w:val="22"/>
          <w:szCs w:val="22"/>
        </w:rPr>
        <w:t xml:space="preserve">Checked for duplicate district-year rows. None were found.</w:t>
      </w:r>
    </w:p>
    <w:p>
      <w:pPr>
        <w:pStyle w:val="ListParagraph"/>
        <w:numPr>
          <w:ilvl w:val="0"/>
          <w:numId w:val="2"/>
        </w:numPr>
        <w:spacing w:after="80"/>
      </w:pPr>
      <w:r>
        <w:rPr>
          <w:sz w:val="22"/>
          <w:szCs w:val="22"/>
        </w:rPr>
        <w:t xml:space="preserve">Identified a genuine data-quality issue: 6 rows record nonzero rice-growing area but zero rice yield. That combination is agronomically inconsistent, since land under cultivation should produce some yield. These rows were flagged for exclusion from yield averages rather than silently kept, to avoid understating true yield.</w:t>
      </w:r>
    </w:p>
    <w:p>
      <w:pPr>
        <w:pStyle w:val="ListParagraph"/>
        <w:numPr>
          <w:ilvl w:val="0"/>
          <w:numId w:val="2"/>
        </w:numPr>
        <w:spacing w:after="80"/>
      </w:pPr>
      <w:r>
        <w:rPr>
          <w:sz w:val="22"/>
          <w:szCs w:val="22"/>
        </w:rPr>
        <w:t xml:space="preserve">Distinguished true missing data from structural zeros. A “0” in a crop's area or production column usually just means that crop is not grown in that district. Treating those as missing values would have wrongly dragged down national averages, so zero-area rows were excluded before computing yield statistics.</w:t>
      </w:r>
    </w:p>
    <w:p>
      <w:pPr>
        <w:pStyle w:val="ListParagraph"/>
        <w:numPr>
          <w:ilvl w:val="0"/>
          <w:numId w:val="2"/>
        </w:numPr>
        <w:spacing w:after="80"/>
      </w:pPr>
      <w:r>
        <w:rPr>
          <w:sz w:val="22"/>
          <w:szCs w:val="22"/>
        </w:rPr>
        <w:t xml:space="preserve">The same 1.5×IQR method from Section 2.2.2 was applied here, after first excluding the structural zeros so a district's absence of a crop is never confused with a low-yield outlier. 46 rice-yield values and a smaller number of wheat-yield values were flagged. Unlike the rainfall case, these were cross-checked against the state each flagged district belongs to before deciding how to treat them: districts in Punjab and Tamil Nadu, states already known for intensive irrigation and higher-yield agricultural practices, account for most of the high-side flags, which supports treating them as genuine high performers rather than data errors. This cross-check, comparing a flagged value's context against an independent variable (state), rather than judging the number in isolation, is what turns outlier detection from a mechanical filter into an actual analytical step.</w:t>
      </w:r>
    </w:p>
    <w:p>
      <w:pPr>
        <w:pStyle w:val="Heading1"/>
        <w:pBdr>
          <w:bottom w:val="single" w:color="2E7D32" w:sz="8" w:space="4"/>
        </w:pBdr>
        <w:spacing w:after="160" w:before="360"/>
      </w:pPr>
      <w:r>
        <w:rPr>
          <w:b/>
          <w:bCs/>
          <w:color w:val="2E7D32"/>
          <w:sz w:val="30"/>
          <w:szCs w:val="30"/>
        </w:rPr>
        <w:t xml:space="preserve">3. Analysis</w:t>
      </w:r>
    </w:p>
    <w:p>
      <w:pPr>
        <w:spacing w:after="160" w:line="276"/>
      </w:pPr>
      <w:r>
        <w:rPr>
          <w:sz w:val="22"/>
          <w:szCs w:val="22"/>
        </w:rPr>
        <w:t xml:space="preserve">With both datasets cleaned, this section reports preliminary descriptive statistics, the kind of mean, spread, and correlation checks that should always come before building anything more complex. Each chart below is introduced first, so the figure confirms a claim already made in the text rather than standing alone.</w:t>
      </w:r>
    </w:p>
    <w:p>
      <w:pPr>
        <w:pStyle w:val="Heading2"/>
        <w:spacing w:after="120" w:before="280"/>
      </w:pPr>
      <w:r>
        <w:rPr>
          <w:b/>
          <w:bCs/>
          <w:color w:val="1B5E20"/>
          <w:sz w:val="24"/>
          <w:szCs w:val="24"/>
        </w:rPr>
        <w:t xml:space="preserve">3.1 Soil &amp; Climate Profile by Crop</w:t>
      </w:r>
    </w:p>
    <w:p>
      <w:pPr>
        <w:spacing w:after="160" w:line="276"/>
      </w:pPr>
      <w:r>
        <w:rPr>
          <w:sz w:val="22"/>
          <w:szCs w:val="22"/>
        </w:rPr>
        <w:t xml:space="preserve">Mean nutrient and climate values for a sample of common crops show clear, distinct profiles. This is exactly the kind of differentiation a recommendation or stress-detection model would rely 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gridCol w:w="900"/>
        <w:gridCol w:w="1300"/>
        <w:gridCol w:w="1300"/>
        <w:gridCol w:w="900"/>
        <w:gridCol w:w="1300"/>
      </w:tblGrid>
      <w:tr>
        <w:trPr>
          <w:tblHeader/>
        </w:trPr>
        <w:tc>
          <w:tcPr>
            <w:tcW w:type="dxa" w:w="1300"/>
            <w:shd w:fill="2E7D32" w:val="clear"/>
            <w:tcMar>
              <w:top w:type="dxa" w:w="100"/>
              <w:left w:type="dxa" w:w="120"/>
              <w:bottom w:type="dxa" w:w="100"/>
              <w:right w:type="dxa" w:w="120"/>
            </w:tcMar>
          </w:tcPr>
          <w:p>
            <w:r>
              <w:rPr>
                <w:b/>
                <w:bCs/>
                <w:color w:val="FFFFFF"/>
                <w:sz w:val="20"/>
                <w:szCs w:val="20"/>
              </w:rPr>
              <w:t xml:space="preserve">Crop</w:t>
            </w:r>
          </w:p>
        </w:tc>
        <w:tc>
          <w:tcPr>
            <w:tcW w:type="dxa" w:w="900"/>
            <w:shd w:fill="2E7D32" w:val="clear"/>
            <w:tcMar>
              <w:top w:type="dxa" w:w="100"/>
              <w:left w:type="dxa" w:w="120"/>
              <w:bottom w:type="dxa" w:w="100"/>
              <w:right w:type="dxa" w:w="120"/>
            </w:tcMar>
          </w:tcPr>
          <w:p>
            <w:r>
              <w:rPr>
                <w:b/>
                <w:bCs/>
                <w:color w:val="FFFFFF"/>
                <w:sz w:val="20"/>
                <w:szCs w:val="20"/>
              </w:rPr>
              <w:t xml:space="preserve">N</w:t>
            </w:r>
          </w:p>
        </w:tc>
        <w:tc>
          <w:tcPr>
            <w:tcW w:type="dxa" w:w="900"/>
            <w:shd w:fill="2E7D32" w:val="clear"/>
            <w:tcMar>
              <w:top w:type="dxa" w:w="100"/>
              <w:left w:type="dxa" w:w="120"/>
              <w:bottom w:type="dxa" w:w="100"/>
              <w:right w:type="dxa" w:w="120"/>
            </w:tcMar>
          </w:tcPr>
          <w:p>
            <w:r>
              <w:rPr>
                <w:b/>
                <w:bCs/>
                <w:color w:val="FFFFFF"/>
                <w:sz w:val="20"/>
                <w:szCs w:val="20"/>
              </w:rPr>
              <w:t xml:space="preserve">P</w:t>
            </w:r>
          </w:p>
        </w:tc>
        <w:tc>
          <w:tcPr>
            <w:tcW w:type="dxa" w:w="900"/>
            <w:shd w:fill="2E7D32" w:val="clear"/>
            <w:tcMar>
              <w:top w:type="dxa" w:w="100"/>
              <w:left w:type="dxa" w:w="120"/>
              <w:bottom w:type="dxa" w:w="100"/>
              <w:right w:type="dxa" w:w="120"/>
            </w:tcMar>
          </w:tcPr>
          <w:p>
            <w:r>
              <w:rPr>
                <w:b/>
                <w:bCs/>
                <w:color w:val="FFFFFF"/>
                <w:sz w:val="20"/>
                <w:szCs w:val="20"/>
              </w:rPr>
              <w:t xml:space="preserve">K</w:t>
            </w:r>
          </w:p>
        </w:tc>
        <w:tc>
          <w:tcPr>
            <w:tcW w:type="dxa" w:w="1300"/>
            <w:shd w:fill="2E7D32" w:val="clear"/>
            <w:tcMar>
              <w:top w:type="dxa" w:w="100"/>
              <w:left w:type="dxa" w:w="120"/>
              <w:bottom w:type="dxa" w:w="100"/>
              <w:right w:type="dxa" w:w="120"/>
            </w:tcMar>
          </w:tcPr>
          <w:p>
            <w:r>
              <w:rPr>
                <w:b/>
                <w:bCs/>
                <w:color w:val="FFFFFF"/>
                <w:sz w:val="20"/>
                <w:szCs w:val="20"/>
              </w:rPr>
              <w:t xml:space="preserve">Temp (°C)</w:t>
            </w:r>
          </w:p>
        </w:tc>
        <w:tc>
          <w:tcPr>
            <w:tcW w:type="dxa" w:w="1300"/>
            <w:shd w:fill="2E7D32" w:val="clear"/>
            <w:tcMar>
              <w:top w:type="dxa" w:w="100"/>
              <w:left w:type="dxa" w:w="120"/>
              <w:bottom w:type="dxa" w:w="100"/>
              <w:right w:type="dxa" w:w="120"/>
            </w:tcMar>
          </w:tcPr>
          <w:p>
            <w:r>
              <w:rPr>
                <w:b/>
                <w:bCs/>
                <w:color w:val="FFFFFF"/>
                <w:sz w:val="20"/>
                <w:szCs w:val="20"/>
              </w:rPr>
              <w:t xml:space="preserve">Humidity (%)</w:t>
            </w:r>
          </w:p>
        </w:tc>
        <w:tc>
          <w:tcPr>
            <w:tcW w:type="dxa" w:w="900"/>
            <w:shd w:fill="2E7D32" w:val="clear"/>
            <w:tcMar>
              <w:top w:type="dxa" w:w="100"/>
              <w:left w:type="dxa" w:w="120"/>
              <w:bottom w:type="dxa" w:w="100"/>
              <w:right w:type="dxa" w:w="120"/>
            </w:tcMar>
          </w:tcPr>
          <w:p>
            <w:r>
              <w:rPr>
                <w:b/>
                <w:bCs/>
                <w:color w:val="FFFFFF"/>
                <w:sz w:val="20"/>
                <w:szCs w:val="20"/>
              </w:rPr>
              <w:t xml:space="preserve">pH</w:t>
            </w:r>
          </w:p>
        </w:tc>
        <w:tc>
          <w:tcPr>
            <w:tcW w:type="dxa" w:w="1300"/>
            <w:shd w:fill="2E7D32" w:val="clear"/>
            <w:tcMar>
              <w:top w:type="dxa" w:w="100"/>
              <w:left w:type="dxa" w:w="120"/>
              <w:bottom w:type="dxa" w:w="100"/>
              <w:right w:type="dxa" w:w="120"/>
            </w:tcMar>
          </w:tcPr>
          <w:p>
            <w:r>
              <w:rPr>
                <w:b/>
                <w:bCs/>
                <w:color w:val="FFFFFF"/>
                <w:sz w:val="20"/>
                <w:szCs w:val="20"/>
              </w:rPr>
              <w:t xml:space="preserve">Rainfall (mm)</w:t>
            </w:r>
          </w:p>
        </w:tc>
      </w:tr>
      <w:tr>
        <w:tc>
          <w:tcPr>
            <w:tcW w:type="dxa" w:w="1300"/>
            <w:shd w:fill="F5F5F5" w:val="clear"/>
            <w:tcMar>
              <w:top w:type="dxa" w:w="100"/>
              <w:left w:type="dxa" w:w="120"/>
              <w:bottom w:type="dxa" w:w="100"/>
              <w:right w:type="dxa" w:w="120"/>
            </w:tcMar>
          </w:tcPr>
          <w:p>
            <w:r>
              <w:rPr>
                <w:b w:val="false"/>
                <w:bCs w:val="false"/>
                <w:sz w:val="20"/>
                <w:szCs w:val="20"/>
              </w:rPr>
              <w:t xml:space="preserve">Rice</w:t>
            </w:r>
          </w:p>
        </w:tc>
        <w:tc>
          <w:tcPr>
            <w:tcW w:type="dxa" w:w="900"/>
            <w:shd w:fill="F5F5F5" w:val="clear"/>
            <w:tcMar>
              <w:top w:type="dxa" w:w="100"/>
              <w:left w:type="dxa" w:w="120"/>
              <w:bottom w:type="dxa" w:w="100"/>
              <w:right w:type="dxa" w:w="120"/>
            </w:tcMar>
          </w:tcPr>
          <w:p>
            <w:r>
              <w:rPr>
                <w:b w:val="false"/>
                <w:bCs w:val="false"/>
                <w:sz w:val="20"/>
                <w:szCs w:val="20"/>
              </w:rPr>
              <w:t xml:space="preserve">79.9</w:t>
            </w:r>
          </w:p>
        </w:tc>
        <w:tc>
          <w:tcPr>
            <w:tcW w:type="dxa" w:w="900"/>
            <w:shd w:fill="F5F5F5" w:val="clear"/>
            <w:tcMar>
              <w:top w:type="dxa" w:w="100"/>
              <w:left w:type="dxa" w:w="120"/>
              <w:bottom w:type="dxa" w:w="100"/>
              <w:right w:type="dxa" w:w="120"/>
            </w:tcMar>
          </w:tcPr>
          <w:p>
            <w:r>
              <w:rPr>
                <w:b w:val="false"/>
                <w:bCs w:val="false"/>
                <w:sz w:val="20"/>
                <w:szCs w:val="20"/>
              </w:rPr>
              <w:t xml:space="preserve">47.6</w:t>
            </w:r>
          </w:p>
        </w:tc>
        <w:tc>
          <w:tcPr>
            <w:tcW w:type="dxa" w:w="900"/>
            <w:shd w:fill="F5F5F5" w:val="clear"/>
            <w:tcMar>
              <w:top w:type="dxa" w:w="100"/>
              <w:left w:type="dxa" w:w="120"/>
              <w:bottom w:type="dxa" w:w="100"/>
              <w:right w:type="dxa" w:w="120"/>
            </w:tcMar>
          </w:tcPr>
          <w:p>
            <w:r>
              <w:rPr>
                <w:b w:val="false"/>
                <w:bCs w:val="false"/>
                <w:sz w:val="20"/>
                <w:szCs w:val="20"/>
              </w:rPr>
              <w:t xml:space="preserve">39.9</w:t>
            </w:r>
          </w:p>
        </w:tc>
        <w:tc>
          <w:tcPr>
            <w:tcW w:type="dxa" w:w="1300"/>
            <w:shd w:fill="F5F5F5" w:val="clear"/>
            <w:tcMar>
              <w:top w:type="dxa" w:w="100"/>
              <w:left w:type="dxa" w:w="120"/>
              <w:bottom w:type="dxa" w:w="100"/>
              <w:right w:type="dxa" w:w="120"/>
            </w:tcMar>
          </w:tcPr>
          <w:p>
            <w:r>
              <w:rPr>
                <w:b w:val="false"/>
                <w:bCs w:val="false"/>
                <w:sz w:val="20"/>
                <w:szCs w:val="20"/>
              </w:rPr>
              <w:t xml:space="preserve">23.7</w:t>
            </w:r>
          </w:p>
        </w:tc>
        <w:tc>
          <w:tcPr>
            <w:tcW w:type="dxa" w:w="1300"/>
            <w:shd w:fill="F5F5F5" w:val="clear"/>
            <w:tcMar>
              <w:top w:type="dxa" w:w="100"/>
              <w:left w:type="dxa" w:w="120"/>
              <w:bottom w:type="dxa" w:w="100"/>
              <w:right w:type="dxa" w:w="120"/>
            </w:tcMar>
          </w:tcPr>
          <w:p>
            <w:r>
              <w:rPr>
                <w:b w:val="false"/>
                <w:bCs w:val="false"/>
                <w:sz w:val="20"/>
                <w:szCs w:val="20"/>
              </w:rPr>
              <w:t xml:space="preserve">82.3</w:t>
            </w:r>
          </w:p>
        </w:tc>
        <w:tc>
          <w:tcPr>
            <w:tcW w:type="dxa" w:w="900"/>
            <w:shd w:fill="F5F5F5" w:val="clear"/>
            <w:tcMar>
              <w:top w:type="dxa" w:w="100"/>
              <w:left w:type="dxa" w:w="120"/>
              <w:bottom w:type="dxa" w:w="100"/>
              <w:right w:type="dxa" w:w="120"/>
            </w:tcMar>
          </w:tcPr>
          <w:p>
            <w:r>
              <w:rPr>
                <w:b w:val="false"/>
                <w:bCs w:val="false"/>
                <w:sz w:val="20"/>
                <w:szCs w:val="20"/>
              </w:rPr>
              <w:t xml:space="preserve">6.4</w:t>
            </w:r>
          </w:p>
        </w:tc>
        <w:tc>
          <w:tcPr>
            <w:tcW w:type="dxa" w:w="1300"/>
            <w:shd w:fill="F5F5F5" w:val="clear"/>
            <w:tcMar>
              <w:top w:type="dxa" w:w="100"/>
              <w:left w:type="dxa" w:w="120"/>
              <w:bottom w:type="dxa" w:w="100"/>
              <w:right w:type="dxa" w:w="120"/>
            </w:tcMar>
          </w:tcPr>
          <w:p>
            <w:r>
              <w:rPr>
                <w:b w:val="false"/>
                <w:bCs w:val="false"/>
                <w:sz w:val="20"/>
                <w:szCs w:val="20"/>
              </w:rPr>
              <w:t xml:space="preserve">236.2</w:t>
            </w:r>
          </w:p>
        </w:tc>
      </w:tr>
      <w:tr>
        <w:tc>
          <w:tcPr>
            <w:tcW w:type="dxa" w:w="1300"/>
            <w:shd w:fill="FFFFFF" w:val="clear"/>
            <w:tcMar>
              <w:top w:type="dxa" w:w="100"/>
              <w:left w:type="dxa" w:w="120"/>
              <w:bottom w:type="dxa" w:w="100"/>
              <w:right w:type="dxa" w:w="120"/>
            </w:tcMar>
          </w:tcPr>
          <w:p>
            <w:r>
              <w:rPr>
                <w:b w:val="false"/>
                <w:bCs w:val="false"/>
                <w:sz w:val="20"/>
                <w:szCs w:val="20"/>
              </w:rPr>
              <w:t xml:space="preserve">Maize</w:t>
            </w:r>
          </w:p>
        </w:tc>
        <w:tc>
          <w:tcPr>
            <w:tcW w:type="dxa" w:w="900"/>
            <w:shd w:fill="FFFFFF" w:val="clear"/>
            <w:tcMar>
              <w:top w:type="dxa" w:w="100"/>
              <w:left w:type="dxa" w:w="120"/>
              <w:bottom w:type="dxa" w:w="100"/>
              <w:right w:type="dxa" w:w="120"/>
            </w:tcMar>
          </w:tcPr>
          <w:p>
            <w:r>
              <w:rPr>
                <w:b w:val="false"/>
                <w:bCs w:val="false"/>
                <w:sz w:val="20"/>
                <w:szCs w:val="20"/>
              </w:rPr>
              <w:t xml:space="preserve">77.8</w:t>
            </w:r>
          </w:p>
        </w:tc>
        <w:tc>
          <w:tcPr>
            <w:tcW w:type="dxa" w:w="900"/>
            <w:shd w:fill="FFFFFF" w:val="clear"/>
            <w:tcMar>
              <w:top w:type="dxa" w:w="100"/>
              <w:left w:type="dxa" w:w="120"/>
              <w:bottom w:type="dxa" w:w="100"/>
              <w:right w:type="dxa" w:w="120"/>
            </w:tcMar>
          </w:tcPr>
          <w:p>
            <w:r>
              <w:rPr>
                <w:b w:val="false"/>
                <w:bCs w:val="false"/>
                <w:sz w:val="20"/>
                <w:szCs w:val="20"/>
              </w:rPr>
              <w:t xml:space="preserve">48.4</w:t>
            </w:r>
          </w:p>
        </w:tc>
        <w:tc>
          <w:tcPr>
            <w:tcW w:type="dxa" w:w="900"/>
            <w:shd w:fill="FFFFFF" w:val="clear"/>
            <w:tcMar>
              <w:top w:type="dxa" w:w="100"/>
              <w:left w:type="dxa" w:w="120"/>
              <w:bottom w:type="dxa" w:w="100"/>
              <w:right w:type="dxa" w:w="120"/>
            </w:tcMar>
          </w:tcPr>
          <w:p>
            <w:r>
              <w:rPr>
                <w:b w:val="false"/>
                <w:bCs w:val="false"/>
                <w:sz w:val="20"/>
                <w:szCs w:val="20"/>
              </w:rPr>
              <w:t xml:space="preserve">19.8</w:t>
            </w:r>
          </w:p>
        </w:tc>
        <w:tc>
          <w:tcPr>
            <w:tcW w:type="dxa" w:w="1300"/>
            <w:shd w:fill="FFFFFF" w:val="clear"/>
            <w:tcMar>
              <w:top w:type="dxa" w:w="100"/>
              <w:left w:type="dxa" w:w="120"/>
              <w:bottom w:type="dxa" w:w="100"/>
              <w:right w:type="dxa" w:w="120"/>
            </w:tcMar>
          </w:tcPr>
          <w:p>
            <w:r>
              <w:rPr>
                <w:b w:val="false"/>
                <w:bCs w:val="false"/>
                <w:sz w:val="20"/>
                <w:szCs w:val="20"/>
              </w:rPr>
              <w:t xml:space="preserve">22.4</w:t>
            </w:r>
          </w:p>
        </w:tc>
        <w:tc>
          <w:tcPr>
            <w:tcW w:type="dxa" w:w="1300"/>
            <w:shd w:fill="FFFFFF" w:val="clear"/>
            <w:tcMar>
              <w:top w:type="dxa" w:w="100"/>
              <w:left w:type="dxa" w:w="120"/>
              <w:bottom w:type="dxa" w:w="100"/>
              <w:right w:type="dxa" w:w="120"/>
            </w:tcMar>
          </w:tcPr>
          <w:p>
            <w:r>
              <w:rPr>
                <w:b w:val="false"/>
                <w:bCs w:val="false"/>
                <w:sz w:val="20"/>
                <w:szCs w:val="20"/>
              </w:rPr>
              <w:t xml:space="preserve">65.1</w:t>
            </w:r>
          </w:p>
        </w:tc>
        <w:tc>
          <w:tcPr>
            <w:tcW w:type="dxa" w:w="900"/>
            <w:shd w:fill="FFFFFF" w:val="clear"/>
            <w:tcMar>
              <w:top w:type="dxa" w:w="100"/>
              <w:left w:type="dxa" w:w="120"/>
              <w:bottom w:type="dxa" w:w="100"/>
              <w:right w:type="dxa" w:w="120"/>
            </w:tcMar>
          </w:tcPr>
          <w:p>
            <w:r>
              <w:rPr>
                <w:b w:val="false"/>
                <w:bCs w:val="false"/>
                <w:sz w:val="20"/>
                <w:szCs w:val="20"/>
              </w:rPr>
              <w:t xml:space="preserve">6.2</w:t>
            </w:r>
          </w:p>
        </w:tc>
        <w:tc>
          <w:tcPr>
            <w:tcW w:type="dxa" w:w="1300"/>
            <w:shd w:fill="FFFFFF" w:val="clear"/>
            <w:tcMar>
              <w:top w:type="dxa" w:w="100"/>
              <w:left w:type="dxa" w:w="120"/>
              <w:bottom w:type="dxa" w:w="100"/>
              <w:right w:type="dxa" w:w="120"/>
            </w:tcMar>
          </w:tcPr>
          <w:p>
            <w:r>
              <w:rPr>
                <w:b w:val="false"/>
                <w:bCs w:val="false"/>
                <w:sz w:val="20"/>
                <w:szCs w:val="20"/>
              </w:rPr>
              <w:t xml:space="preserve">84.8</w:t>
            </w:r>
          </w:p>
        </w:tc>
      </w:tr>
      <w:tr>
        <w:tc>
          <w:tcPr>
            <w:tcW w:type="dxa" w:w="1300"/>
            <w:shd w:fill="F5F5F5" w:val="clear"/>
            <w:tcMar>
              <w:top w:type="dxa" w:w="100"/>
              <w:left w:type="dxa" w:w="120"/>
              <w:bottom w:type="dxa" w:w="100"/>
              <w:right w:type="dxa" w:w="120"/>
            </w:tcMar>
          </w:tcPr>
          <w:p>
            <w:r>
              <w:rPr>
                <w:b w:val="false"/>
                <w:bCs w:val="false"/>
                <w:sz w:val="20"/>
                <w:szCs w:val="20"/>
              </w:rPr>
              <w:t xml:space="preserve">Cotton</w:t>
            </w:r>
          </w:p>
        </w:tc>
        <w:tc>
          <w:tcPr>
            <w:tcW w:type="dxa" w:w="900"/>
            <w:shd w:fill="F5F5F5" w:val="clear"/>
            <w:tcMar>
              <w:top w:type="dxa" w:w="100"/>
              <w:left w:type="dxa" w:w="120"/>
              <w:bottom w:type="dxa" w:w="100"/>
              <w:right w:type="dxa" w:w="120"/>
            </w:tcMar>
          </w:tcPr>
          <w:p>
            <w:r>
              <w:rPr>
                <w:b w:val="false"/>
                <w:bCs w:val="false"/>
                <w:sz w:val="20"/>
                <w:szCs w:val="20"/>
              </w:rPr>
              <w:t xml:space="preserve">117.8</w:t>
            </w:r>
          </w:p>
        </w:tc>
        <w:tc>
          <w:tcPr>
            <w:tcW w:type="dxa" w:w="900"/>
            <w:shd w:fill="F5F5F5" w:val="clear"/>
            <w:tcMar>
              <w:top w:type="dxa" w:w="100"/>
              <w:left w:type="dxa" w:w="120"/>
              <w:bottom w:type="dxa" w:w="100"/>
              <w:right w:type="dxa" w:w="120"/>
            </w:tcMar>
          </w:tcPr>
          <w:p>
            <w:r>
              <w:rPr>
                <w:b w:val="false"/>
                <w:bCs w:val="false"/>
                <w:sz w:val="20"/>
                <w:szCs w:val="20"/>
              </w:rPr>
              <w:t xml:space="preserve">46.2</w:t>
            </w:r>
          </w:p>
        </w:tc>
        <w:tc>
          <w:tcPr>
            <w:tcW w:type="dxa" w:w="900"/>
            <w:shd w:fill="F5F5F5" w:val="clear"/>
            <w:tcMar>
              <w:top w:type="dxa" w:w="100"/>
              <w:left w:type="dxa" w:w="120"/>
              <w:bottom w:type="dxa" w:w="100"/>
              <w:right w:type="dxa" w:w="120"/>
            </w:tcMar>
          </w:tcPr>
          <w:p>
            <w:r>
              <w:rPr>
                <w:b w:val="false"/>
                <w:bCs w:val="false"/>
                <w:sz w:val="20"/>
                <w:szCs w:val="20"/>
              </w:rPr>
              <w:t xml:space="preserve">19.6</w:t>
            </w:r>
          </w:p>
        </w:tc>
        <w:tc>
          <w:tcPr>
            <w:tcW w:type="dxa" w:w="1300"/>
            <w:shd w:fill="F5F5F5" w:val="clear"/>
            <w:tcMar>
              <w:top w:type="dxa" w:w="100"/>
              <w:left w:type="dxa" w:w="120"/>
              <w:bottom w:type="dxa" w:w="100"/>
              <w:right w:type="dxa" w:w="120"/>
            </w:tcMar>
          </w:tcPr>
          <w:p>
            <w:r>
              <w:rPr>
                <w:b w:val="false"/>
                <w:bCs w:val="false"/>
                <w:sz w:val="20"/>
                <w:szCs w:val="20"/>
              </w:rPr>
              <w:t xml:space="preserve">24.0</w:t>
            </w:r>
          </w:p>
        </w:tc>
        <w:tc>
          <w:tcPr>
            <w:tcW w:type="dxa" w:w="1300"/>
            <w:shd w:fill="F5F5F5" w:val="clear"/>
            <w:tcMar>
              <w:top w:type="dxa" w:w="100"/>
              <w:left w:type="dxa" w:w="120"/>
              <w:bottom w:type="dxa" w:w="100"/>
              <w:right w:type="dxa" w:w="120"/>
            </w:tcMar>
          </w:tcPr>
          <w:p>
            <w:r>
              <w:rPr>
                <w:b w:val="false"/>
                <w:bCs w:val="false"/>
                <w:sz w:val="20"/>
                <w:szCs w:val="20"/>
              </w:rPr>
              <w:t xml:space="preserve">79.8</w:t>
            </w:r>
          </w:p>
        </w:tc>
        <w:tc>
          <w:tcPr>
            <w:tcW w:type="dxa" w:w="900"/>
            <w:shd w:fill="F5F5F5" w:val="clear"/>
            <w:tcMar>
              <w:top w:type="dxa" w:w="100"/>
              <w:left w:type="dxa" w:w="120"/>
              <w:bottom w:type="dxa" w:w="100"/>
              <w:right w:type="dxa" w:w="120"/>
            </w:tcMar>
          </w:tcPr>
          <w:p>
            <w:r>
              <w:rPr>
                <w:b w:val="false"/>
                <w:bCs w:val="false"/>
                <w:sz w:val="20"/>
                <w:szCs w:val="20"/>
              </w:rPr>
              <w:t xml:space="preserve">6.9</w:t>
            </w:r>
          </w:p>
        </w:tc>
        <w:tc>
          <w:tcPr>
            <w:tcW w:type="dxa" w:w="1300"/>
            <w:shd w:fill="F5F5F5" w:val="clear"/>
            <w:tcMar>
              <w:top w:type="dxa" w:w="100"/>
              <w:left w:type="dxa" w:w="120"/>
              <w:bottom w:type="dxa" w:w="100"/>
              <w:right w:type="dxa" w:w="120"/>
            </w:tcMar>
          </w:tcPr>
          <w:p>
            <w:r>
              <w:rPr>
                <w:b w:val="false"/>
                <w:bCs w:val="false"/>
                <w:sz w:val="20"/>
                <w:szCs w:val="20"/>
              </w:rPr>
              <w:t xml:space="preserve">80.4</w:t>
            </w:r>
          </w:p>
        </w:tc>
      </w:tr>
      <w:tr>
        <w:tc>
          <w:tcPr>
            <w:tcW w:type="dxa" w:w="1300"/>
            <w:shd w:fill="FFFFFF" w:val="clear"/>
            <w:tcMar>
              <w:top w:type="dxa" w:w="100"/>
              <w:left w:type="dxa" w:w="120"/>
              <w:bottom w:type="dxa" w:w="100"/>
              <w:right w:type="dxa" w:w="120"/>
            </w:tcMar>
          </w:tcPr>
          <w:p>
            <w:r>
              <w:rPr>
                <w:b w:val="false"/>
                <w:bCs w:val="false"/>
                <w:sz w:val="20"/>
                <w:szCs w:val="20"/>
              </w:rPr>
              <w:t xml:space="preserve">Coffee</w:t>
            </w:r>
          </w:p>
        </w:tc>
        <w:tc>
          <w:tcPr>
            <w:tcW w:type="dxa" w:w="900"/>
            <w:shd w:fill="FFFFFF" w:val="clear"/>
            <w:tcMar>
              <w:top w:type="dxa" w:w="100"/>
              <w:left w:type="dxa" w:w="120"/>
              <w:bottom w:type="dxa" w:w="100"/>
              <w:right w:type="dxa" w:w="120"/>
            </w:tcMar>
          </w:tcPr>
          <w:p>
            <w:r>
              <w:rPr>
                <w:b w:val="false"/>
                <w:bCs w:val="false"/>
                <w:sz w:val="20"/>
                <w:szCs w:val="20"/>
              </w:rPr>
              <w:t xml:space="preserve">101.2</w:t>
            </w:r>
          </w:p>
        </w:tc>
        <w:tc>
          <w:tcPr>
            <w:tcW w:type="dxa" w:w="900"/>
            <w:shd w:fill="FFFFFF" w:val="clear"/>
            <w:tcMar>
              <w:top w:type="dxa" w:w="100"/>
              <w:left w:type="dxa" w:w="120"/>
              <w:bottom w:type="dxa" w:w="100"/>
              <w:right w:type="dxa" w:w="120"/>
            </w:tcMar>
          </w:tcPr>
          <w:p>
            <w:r>
              <w:rPr>
                <w:b w:val="false"/>
                <w:bCs w:val="false"/>
                <w:sz w:val="20"/>
                <w:szCs w:val="20"/>
              </w:rPr>
              <w:t xml:space="preserve">28.7</w:t>
            </w:r>
          </w:p>
        </w:tc>
        <w:tc>
          <w:tcPr>
            <w:tcW w:type="dxa" w:w="900"/>
            <w:shd w:fill="FFFFFF" w:val="clear"/>
            <w:tcMar>
              <w:top w:type="dxa" w:w="100"/>
              <w:left w:type="dxa" w:w="120"/>
              <w:bottom w:type="dxa" w:w="100"/>
              <w:right w:type="dxa" w:w="120"/>
            </w:tcMar>
          </w:tcPr>
          <w:p>
            <w:r>
              <w:rPr>
                <w:b w:val="false"/>
                <w:bCs w:val="false"/>
                <w:sz w:val="20"/>
                <w:szCs w:val="20"/>
              </w:rPr>
              <w:t xml:space="preserve">29.9</w:t>
            </w:r>
          </w:p>
        </w:tc>
        <w:tc>
          <w:tcPr>
            <w:tcW w:type="dxa" w:w="1300"/>
            <w:shd w:fill="FFFFFF" w:val="clear"/>
            <w:tcMar>
              <w:top w:type="dxa" w:w="100"/>
              <w:left w:type="dxa" w:w="120"/>
              <w:bottom w:type="dxa" w:w="100"/>
              <w:right w:type="dxa" w:w="120"/>
            </w:tcMar>
          </w:tcPr>
          <w:p>
            <w:r>
              <w:rPr>
                <w:b w:val="false"/>
                <w:bCs w:val="false"/>
                <w:sz w:val="20"/>
                <w:szCs w:val="20"/>
              </w:rPr>
              <w:t xml:space="preserve">25.5</w:t>
            </w:r>
          </w:p>
        </w:tc>
        <w:tc>
          <w:tcPr>
            <w:tcW w:type="dxa" w:w="1300"/>
            <w:shd w:fill="FFFFFF" w:val="clear"/>
            <w:tcMar>
              <w:top w:type="dxa" w:w="100"/>
              <w:left w:type="dxa" w:w="120"/>
              <w:bottom w:type="dxa" w:w="100"/>
              <w:right w:type="dxa" w:w="120"/>
            </w:tcMar>
          </w:tcPr>
          <w:p>
            <w:r>
              <w:rPr>
                <w:b w:val="false"/>
                <w:bCs w:val="false"/>
                <w:sz w:val="20"/>
                <w:szCs w:val="20"/>
              </w:rPr>
              <w:t xml:space="preserve">58.9</w:t>
            </w:r>
          </w:p>
        </w:tc>
        <w:tc>
          <w:tcPr>
            <w:tcW w:type="dxa" w:w="900"/>
            <w:shd w:fill="FFFFFF" w:val="clear"/>
            <w:tcMar>
              <w:top w:type="dxa" w:w="100"/>
              <w:left w:type="dxa" w:w="120"/>
              <w:bottom w:type="dxa" w:w="100"/>
              <w:right w:type="dxa" w:w="120"/>
            </w:tcMar>
          </w:tcPr>
          <w:p>
            <w:r>
              <w:rPr>
                <w:b w:val="false"/>
                <w:bCs w:val="false"/>
                <w:sz w:val="20"/>
                <w:szCs w:val="20"/>
              </w:rPr>
              <w:t xml:space="preserve">6.8</w:t>
            </w:r>
          </w:p>
        </w:tc>
        <w:tc>
          <w:tcPr>
            <w:tcW w:type="dxa" w:w="1300"/>
            <w:shd w:fill="FFFFFF" w:val="clear"/>
            <w:tcMar>
              <w:top w:type="dxa" w:w="100"/>
              <w:left w:type="dxa" w:w="120"/>
              <w:bottom w:type="dxa" w:w="100"/>
              <w:right w:type="dxa" w:w="120"/>
            </w:tcMar>
          </w:tcPr>
          <w:p>
            <w:r>
              <w:rPr>
                <w:b w:val="false"/>
                <w:bCs w:val="false"/>
                <w:sz w:val="20"/>
                <w:szCs w:val="20"/>
              </w:rPr>
              <w:t xml:space="preserve">158.1</w:t>
            </w:r>
          </w:p>
        </w:tc>
      </w:tr>
      <w:tr>
        <w:tc>
          <w:tcPr>
            <w:tcW w:type="dxa" w:w="1300"/>
            <w:shd w:fill="F5F5F5" w:val="clear"/>
            <w:tcMar>
              <w:top w:type="dxa" w:w="100"/>
              <w:left w:type="dxa" w:w="120"/>
              <w:bottom w:type="dxa" w:w="100"/>
              <w:right w:type="dxa" w:w="120"/>
            </w:tcMar>
          </w:tcPr>
          <w:p>
            <w:r>
              <w:rPr>
                <w:b w:val="false"/>
                <w:bCs w:val="false"/>
                <w:sz w:val="20"/>
                <w:szCs w:val="20"/>
              </w:rPr>
              <w:t xml:space="preserve">Banana</w:t>
            </w:r>
          </w:p>
        </w:tc>
        <w:tc>
          <w:tcPr>
            <w:tcW w:type="dxa" w:w="900"/>
            <w:shd w:fill="F5F5F5" w:val="clear"/>
            <w:tcMar>
              <w:top w:type="dxa" w:w="100"/>
              <w:left w:type="dxa" w:w="120"/>
              <w:bottom w:type="dxa" w:w="100"/>
              <w:right w:type="dxa" w:w="120"/>
            </w:tcMar>
          </w:tcPr>
          <w:p>
            <w:r>
              <w:rPr>
                <w:b w:val="false"/>
                <w:bCs w:val="false"/>
                <w:sz w:val="20"/>
                <w:szCs w:val="20"/>
              </w:rPr>
              <w:t xml:space="preserve">100.2</w:t>
            </w:r>
          </w:p>
        </w:tc>
        <w:tc>
          <w:tcPr>
            <w:tcW w:type="dxa" w:w="900"/>
            <w:shd w:fill="F5F5F5" w:val="clear"/>
            <w:tcMar>
              <w:top w:type="dxa" w:w="100"/>
              <w:left w:type="dxa" w:w="120"/>
              <w:bottom w:type="dxa" w:w="100"/>
              <w:right w:type="dxa" w:w="120"/>
            </w:tcMar>
          </w:tcPr>
          <w:p>
            <w:r>
              <w:rPr>
                <w:b w:val="false"/>
                <w:bCs w:val="false"/>
                <w:sz w:val="20"/>
                <w:szCs w:val="20"/>
              </w:rPr>
              <w:t xml:space="preserve">82.0</w:t>
            </w:r>
          </w:p>
        </w:tc>
        <w:tc>
          <w:tcPr>
            <w:tcW w:type="dxa" w:w="900"/>
            <w:shd w:fill="F5F5F5" w:val="clear"/>
            <w:tcMar>
              <w:top w:type="dxa" w:w="100"/>
              <w:left w:type="dxa" w:w="120"/>
              <w:bottom w:type="dxa" w:w="100"/>
              <w:right w:type="dxa" w:w="120"/>
            </w:tcMar>
          </w:tcPr>
          <w:p>
            <w:r>
              <w:rPr>
                <w:b w:val="false"/>
                <w:bCs w:val="false"/>
                <w:sz w:val="20"/>
                <w:szCs w:val="20"/>
              </w:rPr>
              <w:t xml:space="preserve">50.0</w:t>
            </w:r>
          </w:p>
        </w:tc>
        <w:tc>
          <w:tcPr>
            <w:tcW w:type="dxa" w:w="1300"/>
            <w:shd w:fill="F5F5F5" w:val="clear"/>
            <w:tcMar>
              <w:top w:type="dxa" w:w="100"/>
              <w:left w:type="dxa" w:w="120"/>
              <w:bottom w:type="dxa" w:w="100"/>
              <w:right w:type="dxa" w:w="120"/>
            </w:tcMar>
          </w:tcPr>
          <w:p>
            <w:r>
              <w:rPr>
                <w:b w:val="false"/>
                <w:bCs w:val="false"/>
                <w:sz w:val="20"/>
                <w:szCs w:val="20"/>
              </w:rPr>
              <w:t xml:space="preserve">27.4</w:t>
            </w:r>
          </w:p>
        </w:tc>
        <w:tc>
          <w:tcPr>
            <w:tcW w:type="dxa" w:w="1300"/>
            <w:shd w:fill="F5F5F5" w:val="clear"/>
            <w:tcMar>
              <w:top w:type="dxa" w:w="100"/>
              <w:left w:type="dxa" w:w="120"/>
              <w:bottom w:type="dxa" w:w="100"/>
              <w:right w:type="dxa" w:w="120"/>
            </w:tcMar>
          </w:tcPr>
          <w:p>
            <w:r>
              <w:rPr>
                <w:b w:val="false"/>
                <w:bCs w:val="false"/>
                <w:sz w:val="20"/>
                <w:szCs w:val="20"/>
              </w:rPr>
              <w:t xml:space="preserve">80.4</w:t>
            </w:r>
          </w:p>
        </w:tc>
        <w:tc>
          <w:tcPr>
            <w:tcW w:type="dxa" w:w="900"/>
            <w:shd w:fill="F5F5F5" w:val="clear"/>
            <w:tcMar>
              <w:top w:type="dxa" w:w="100"/>
              <w:left w:type="dxa" w:w="120"/>
              <w:bottom w:type="dxa" w:w="100"/>
              <w:right w:type="dxa" w:w="120"/>
            </w:tcMar>
          </w:tcPr>
          <w:p>
            <w:r>
              <w:rPr>
                <w:b w:val="false"/>
                <w:bCs w:val="false"/>
                <w:sz w:val="20"/>
                <w:szCs w:val="20"/>
              </w:rPr>
              <w:t xml:space="preserve">6.0</w:t>
            </w:r>
          </w:p>
        </w:tc>
        <w:tc>
          <w:tcPr>
            <w:tcW w:type="dxa" w:w="1300"/>
            <w:shd w:fill="F5F5F5" w:val="clear"/>
            <w:tcMar>
              <w:top w:type="dxa" w:w="100"/>
              <w:left w:type="dxa" w:w="120"/>
              <w:bottom w:type="dxa" w:w="100"/>
              <w:right w:type="dxa" w:w="120"/>
            </w:tcMar>
          </w:tcPr>
          <w:p>
            <w:r>
              <w:rPr>
                <w:b w:val="false"/>
                <w:bCs w:val="false"/>
                <w:sz w:val="20"/>
                <w:szCs w:val="20"/>
              </w:rPr>
              <w:t xml:space="preserve">104.6</w:t>
            </w:r>
          </w:p>
        </w:tc>
      </w:tr>
      <w:tr>
        <w:tc>
          <w:tcPr>
            <w:tcW w:type="dxa" w:w="1300"/>
            <w:shd w:fill="FFFFFF" w:val="clear"/>
            <w:tcMar>
              <w:top w:type="dxa" w:w="100"/>
              <w:left w:type="dxa" w:w="120"/>
              <w:bottom w:type="dxa" w:w="100"/>
              <w:right w:type="dxa" w:w="120"/>
            </w:tcMar>
          </w:tcPr>
          <w:p>
            <w:r>
              <w:rPr>
                <w:b w:val="false"/>
                <w:bCs w:val="false"/>
                <w:sz w:val="20"/>
                <w:szCs w:val="20"/>
              </w:rPr>
              <w:t xml:space="preserve">Chickpea</w:t>
            </w:r>
          </w:p>
        </w:tc>
        <w:tc>
          <w:tcPr>
            <w:tcW w:type="dxa" w:w="900"/>
            <w:shd w:fill="FFFFFF" w:val="clear"/>
            <w:tcMar>
              <w:top w:type="dxa" w:w="100"/>
              <w:left w:type="dxa" w:w="120"/>
              <w:bottom w:type="dxa" w:w="100"/>
              <w:right w:type="dxa" w:w="120"/>
            </w:tcMar>
          </w:tcPr>
          <w:p>
            <w:r>
              <w:rPr>
                <w:b w:val="false"/>
                <w:bCs w:val="false"/>
                <w:sz w:val="20"/>
                <w:szCs w:val="20"/>
              </w:rPr>
              <w:t xml:space="preserve">40.1</w:t>
            </w:r>
          </w:p>
        </w:tc>
        <w:tc>
          <w:tcPr>
            <w:tcW w:type="dxa" w:w="900"/>
            <w:shd w:fill="FFFFFF" w:val="clear"/>
            <w:tcMar>
              <w:top w:type="dxa" w:w="100"/>
              <w:left w:type="dxa" w:w="120"/>
              <w:bottom w:type="dxa" w:w="100"/>
              <w:right w:type="dxa" w:w="120"/>
            </w:tcMar>
          </w:tcPr>
          <w:p>
            <w:r>
              <w:rPr>
                <w:b w:val="false"/>
                <w:bCs w:val="false"/>
                <w:sz w:val="20"/>
                <w:szCs w:val="20"/>
              </w:rPr>
              <w:t xml:space="preserve">67.8</w:t>
            </w:r>
          </w:p>
        </w:tc>
        <w:tc>
          <w:tcPr>
            <w:tcW w:type="dxa" w:w="900"/>
            <w:shd w:fill="FFFFFF" w:val="clear"/>
            <w:tcMar>
              <w:top w:type="dxa" w:w="100"/>
              <w:left w:type="dxa" w:w="120"/>
              <w:bottom w:type="dxa" w:w="100"/>
              <w:right w:type="dxa" w:w="120"/>
            </w:tcMar>
          </w:tcPr>
          <w:p>
            <w:r>
              <w:rPr>
                <w:b w:val="false"/>
                <w:bCs w:val="false"/>
                <w:sz w:val="20"/>
                <w:szCs w:val="20"/>
              </w:rPr>
              <w:t xml:space="preserve">79.9</w:t>
            </w:r>
          </w:p>
        </w:tc>
        <w:tc>
          <w:tcPr>
            <w:tcW w:type="dxa" w:w="1300"/>
            <w:shd w:fill="FFFFFF" w:val="clear"/>
            <w:tcMar>
              <w:top w:type="dxa" w:w="100"/>
              <w:left w:type="dxa" w:w="120"/>
              <w:bottom w:type="dxa" w:w="100"/>
              <w:right w:type="dxa" w:w="120"/>
            </w:tcMar>
          </w:tcPr>
          <w:p>
            <w:r>
              <w:rPr>
                <w:b w:val="false"/>
                <w:bCs w:val="false"/>
                <w:sz w:val="20"/>
                <w:szCs w:val="20"/>
              </w:rPr>
              <w:t xml:space="preserve">18.9</w:t>
            </w:r>
          </w:p>
        </w:tc>
        <w:tc>
          <w:tcPr>
            <w:tcW w:type="dxa" w:w="1300"/>
            <w:shd w:fill="FFFFFF" w:val="clear"/>
            <w:tcMar>
              <w:top w:type="dxa" w:w="100"/>
              <w:left w:type="dxa" w:w="120"/>
              <w:bottom w:type="dxa" w:w="100"/>
              <w:right w:type="dxa" w:w="120"/>
            </w:tcMar>
          </w:tcPr>
          <w:p>
            <w:r>
              <w:rPr>
                <w:b w:val="false"/>
                <w:bCs w:val="false"/>
                <w:sz w:val="20"/>
                <w:szCs w:val="20"/>
              </w:rPr>
              <w:t xml:space="preserve">16.9</w:t>
            </w:r>
          </w:p>
        </w:tc>
        <w:tc>
          <w:tcPr>
            <w:tcW w:type="dxa" w:w="900"/>
            <w:shd w:fill="FFFFFF" w:val="clear"/>
            <w:tcMar>
              <w:top w:type="dxa" w:w="100"/>
              <w:left w:type="dxa" w:w="120"/>
              <w:bottom w:type="dxa" w:w="100"/>
              <w:right w:type="dxa" w:w="120"/>
            </w:tcMar>
          </w:tcPr>
          <w:p>
            <w:r>
              <w:rPr>
                <w:b w:val="false"/>
                <w:bCs w:val="false"/>
                <w:sz w:val="20"/>
                <w:szCs w:val="20"/>
              </w:rPr>
              <w:t xml:space="preserve">7.3</w:t>
            </w:r>
          </w:p>
        </w:tc>
        <w:tc>
          <w:tcPr>
            <w:tcW w:type="dxa" w:w="1300"/>
            <w:shd w:fill="FFFFFF" w:val="clear"/>
            <w:tcMar>
              <w:top w:type="dxa" w:w="100"/>
              <w:left w:type="dxa" w:w="120"/>
              <w:bottom w:type="dxa" w:w="100"/>
              <w:right w:type="dxa" w:w="120"/>
            </w:tcMar>
          </w:tcPr>
          <w:p>
            <w:r>
              <w:rPr>
                <w:b w:val="false"/>
                <w:bCs w:val="false"/>
                <w:sz w:val="20"/>
                <w:szCs w:val="20"/>
              </w:rPr>
              <w:t xml:space="preserve">80.1</w:t>
            </w:r>
          </w:p>
        </w:tc>
      </w:tr>
    </w:tbl>
    <w:p>
      <w:pPr>
        <w:spacing w:after="160" w:line="276"/>
      </w:pPr>
      <w:r>
        <w:rPr>
          <w:sz w:val="22"/>
          <w:szCs w:val="22"/>
        </w:rPr>
        <w:t xml:space="preserve">The table above already shows rice and coffee needing far more rainfall than chickpea or cotton. Figure 1 makes that same relationship visible at a glance, including the spread within each crop, not just its mean, which the table alone cannot show.</w:t>
      </w:r>
    </w:p>
    <w:p>
      <w:pPr>
        <w:spacing w:before="200"/>
      </w:pPr>
    </w:p>
    <w:p>
      <w:pPr>
        <w:spacing w:after="60"/>
        <w:jc w:val="center"/>
      </w:pPr>
      <w:r>
        <w:drawing>
          <wp:inline distT="0" distB="0" distL="0" distR="0">
            <wp:extent cx="4572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609850"/>
                    </a:xfrm>
                    <a:prstGeom prst="rect">
                      <a:avLst/>
                    </a:prstGeom>
                  </pic:spPr>
                </pic:pic>
              </a:graphicData>
            </a:graphic>
          </wp:inline>
        </w:drawing>
      </w:r>
    </w:p>
    <w:p>
      <w:pPr>
        <w:spacing w:after="240"/>
        <w:jc w:val="center"/>
      </w:pPr>
      <w:r>
        <w:rPr>
          <w:i/>
          <w:iCs/>
          <w:color w:val="555555"/>
          <w:sz w:val="20"/>
          <w:szCs w:val="20"/>
        </w:rPr>
        <w:t xml:space="preserve">Figure 1. Rice and coffee require substantially more rainfall than chickpea or cotton, confirming these datasets can meaningfully differentiate irrigation needs by crop.</w:t>
      </w:r>
    </w:p>
    <w:p>
      <w:pPr>
        <w:spacing w:after="160" w:line="276"/>
      </w:pPr>
      <w:r>
        <w:rPr>
          <w:sz w:val="22"/>
          <w:szCs w:val="22"/>
        </w:rPr>
        <w:t xml:space="preserve">The next question is whether these seven soil and climate variables are actually independent signals, or whether some of them move together and would double-count in a future model. Figure 2 answers that directly.</w:t>
      </w:r>
    </w:p>
    <w:p>
      <w:pPr>
        <w:spacing w:after="6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952750"/>
                    </a:xfrm>
                    <a:prstGeom prst="rect">
                      <a:avLst/>
                    </a:prstGeom>
                  </pic:spPr>
                </pic:pic>
              </a:graphicData>
            </a:graphic>
          </wp:inline>
        </w:drawing>
      </w:r>
    </w:p>
    <w:p>
      <w:pPr>
        <w:spacing w:after="240"/>
        <w:jc w:val="center"/>
      </w:pPr>
      <w:r>
        <w:rPr>
          <w:i/>
          <w:iCs/>
          <w:color w:val="555555"/>
          <w:sz w:val="20"/>
          <w:szCs w:val="20"/>
        </w:rPr>
        <w:t xml:space="preserve">Figure 2. Correlation matrix of soil and climate variables. N, P, and K show weak correlation with each other, all under 0.25 in magnitude, meaning each nutrient carries independent signal rather than duplicating information. That is useful to know before feeding these into a future prediction model.</w:t>
      </w:r>
    </w:p>
    <w:p>
      <w:pPr>
        <w:pStyle w:val="Heading2"/>
        <w:spacing w:after="120" w:before="280"/>
      </w:pPr>
      <w:r>
        <w:rPr>
          <w:b/>
          <w:bCs/>
          <w:color w:val="1B5E20"/>
          <w:sz w:val="24"/>
          <w:szCs w:val="24"/>
        </w:rPr>
        <w:t xml:space="preserve">3.2 National Yield Trends, 2010–2017</w:t>
      </w:r>
    </w:p>
    <w:p>
      <w:pPr>
        <w:spacing w:after="160" w:line="276"/>
      </w:pPr>
      <w:r>
        <w:rPr>
          <w:sz w:val="22"/>
          <w:szCs w:val="22"/>
        </w:rPr>
        <w:t xml:space="preserve">Rice and wheat yield both trended upward over the eight-year window, but not smoothly. Figure 3 shows the actual year-by-year path, including the dips that a single before/after comparison would hide.</w:t>
      </w:r>
    </w:p>
    <w:p>
      <w:pPr>
        <w:spacing w:after="60"/>
        <w:jc w:val="center"/>
      </w:pPr>
      <w:r>
        <w:drawing>
          <wp:inline distT="0" distB="0" distL="0" distR="0">
            <wp:extent cx="4572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609850"/>
                    </a:xfrm>
                    <a:prstGeom prst="rect">
                      <a:avLst/>
                    </a:prstGeom>
                  </pic:spPr>
                </pic:pic>
              </a:graphicData>
            </a:graphic>
          </wp:inline>
        </w:drawing>
      </w:r>
    </w:p>
    <w:p>
      <w:pPr>
        <w:spacing w:after="240"/>
        <w:jc w:val="center"/>
      </w:pPr>
      <w:r>
        <w:rPr>
          <w:i/>
          <w:iCs/>
          <w:color w:val="555555"/>
          <w:sz w:val="20"/>
          <w:szCs w:val="20"/>
        </w:rPr>
        <w:t xml:space="preserve">Figure 3. Average rice yield rose from ~2,046 to ~2,473 Kg/ha (+20.9%), and wheat from ~2,356 to ~2,799 Kg/ha (+18.8%), over the eight-year window. This is consistent with the broader precision-agriculture adoption trend cited in the Week 1 report.</w:t>
      </w:r>
    </w:p>
    <w:p>
      <w:pPr>
        <w:spacing w:after="160" w:line="276"/>
      </w:pPr>
      <w:r>
        <w:rPr>
          <w:sz w:val="22"/>
          <w:szCs w:val="22"/>
        </w:rPr>
        <w:t xml:space="preserve">This upward trend holds despite year-to-year dips, such as in 2015. It supports the Week 1 business question of how a season compares to prior seasons: a dashboard user would want exactly this kind of multi-year baseline to judge whether the current season is under- or over-performing.</w:t>
      </w:r>
    </w:p>
    <w:p>
      <w:pPr>
        <w:pStyle w:val="Heading2"/>
        <w:spacing w:after="120" w:before="280"/>
      </w:pPr>
      <w:r>
        <w:rPr>
          <w:b/>
          <w:bCs/>
          <w:color w:val="1B5E20"/>
          <w:sz w:val="24"/>
          <w:szCs w:val="24"/>
        </w:rPr>
        <w:t xml:space="preserve">3.3 State-Level Variation</w:t>
      </w:r>
    </w:p>
    <w:p>
      <w:pPr>
        <w:spacing w:after="160" w:line="276"/>
      </w:pPr>
      <w:r>
        <w:rPr>
          <w:sz w:val="22"/>
          <w:szCs w:val="22"/>
        </w:rPr>
        <w:t xml:space="preserve">Yield varies far more by geography than by year. Figure 4 puts the five highest- and five lowest-yield states side by side to make that gap concrete.</w:t>
      </w:r>
    </w:p>
    <w:p>
      <w:pPr>
        <w:spacing w:after="60"/>
        <w:jc w:val="center"/>
      </w:pPr>
      <w:r>
        <w:drawing>
          <wp:inline distT="0" distB="0" distL="0" distR="0">
            <wp:extent cx="4572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609850"/>
                    </a:xfrm>
                    <a:prstGeom prst="rect">
                      <a:avLst/>
                    </a:prstGeom>
                  </pic:spPr>
                </pic:pic>
              </a:graphicData>
            </a:graphic>
          </wp:inline>
        </w:drawing>
      </w:r>
    </w:p>
    <w:p>
      <w:pPr>
        <w:spacing w:after="240"/>
        <w:jc w:val="center"/>
      </w:pPr>
      <w:r>
        <w:rPr>
          <w:i/>
          <w:iCs/>
          <w:color w:val="555555"/>
          <w:sz w:val="20"/>
          <w:szCs w:val="20"/>
        </w:rPr>
        <w:t xml:space="preserve">Figure 4. Tamil Nadu and Punjab lead in average rice yield (~3,940 and ~3,920 Kg/ha), more than double Maharashtra's ~1,400 Kg/ha. That is nearly a 3× gap between the highest- and lowest-yield states in the same eight-year window.</w:t>
      </w:r>
    </w:p>
    <w:p>
      <w:pPr>
        <w:spacing w:after="160" w:line="276"/>
      </w:pPr>
      <w:r>
        <w:rPr>
          <w:sz w:val="22"/>
          <w:szCs w:val="22"/>
        </w:rPr>
        <w:t xml:space="preserve">This spread is the clearest evidence in the data for the Week 1 KPI on which fields deliver the best return relative to input cost. Geography alone explains a large share of yield variation. Any dashboard benchmarking a farmer's yield should therefore compare against a regional baseline, not a flat national average.</w:t>
      </w:r>
    </w:p>
    <w:p>
      <w:pPr>
        <w:pStyle w:val="Heading1"/>
        <w:pBdr>
          <w:bottom w:val="single" w:color="2E7D32" w:sz="8" w:space="4"/>
        </w:pBdr>
        <w:spacing w:after="160" w:before="360"/>
      </w:pPr>
      <w:r>
        <w:rPr>
          <w:b/>
          <w:bCs/>
          <w:color w:val="2E7D32"/>
          <w:sz w:val="30"/>
          <w:szCs w:val="30"/>
        </w:rPr>
        <w:t xml:space="preserve">4. Conclusions</w:t>
      </w:r>
    </w:p>
    <w:p>
      <w:pPr>
        <w:pStyle w:val="ListParagraph"/>
        <w:numPr>
          <w:ilvl w:val="0"/>
          <w:numId w:val="2"/>
        </w:numPr>
        <w:spacing w:after="80"/>
      </w:pPr>
      <w:r>
        <w:rPr>
          <w:sz w:val="22"/>
          <w:szCs w:val="22"/>
        </w:rPr>
        <w:t xml:space="preserve">Both datasets are usable as-is with minor, well-documented cleaning steps. No destructive data loss was required at this stage.</w:t>
      </w:r>
    </w:p>
    <w:p>
      <w:pPr>
        <w:pStyle w:val="ListParagraph"/>
        <w:numPr>
          <w:ilvl w:val="0"/>
          <w:numId w:val="2"/>
        </w:numPr>
        <w:spacing w:after="80"/>
      </w:pPr>
      <w:r>
        <w:rPr>
          <w:sz w:val="22"/>
          <w:szCs w:val="22"/>
        </w:rPr>
        <w:t xml:space="preserve">The main data-quality risk in agribusiness datasets is not missing values in the conventional sense. It is structural zeros and area/yield inconsistencies that require domain judgment to handle correctly.</w:t>
      </w:r>
    </w:p>
    <w:p>
      <w:pPr>
        <w:pStyle w:val="ListParagraph"/>
        <w:numPr>
          <w:ilvl w:val="0"/>
          <w:numId w:val="2"/>
        </w:numPr>
        <w:spacing w:after="80"/>
      </w:pPr>
      <w:r>
        <w:rPr>
          <w:sz w:val="22"/>
          <w:szCs w:val="22"/>
        </w:rPr>
        <w:t xml:space="preserve">Outlier detection is only useful when the method is explained and the result is interpreted in context, not just applied and reported as a count. Cross-checking flagged yield values against state-level irrigation context, rather than treating them as an isolated statistical anomaly, is what made that check analytically meaningful here.</w:t>
      </w:r>
    </w:p>
    <w:p>
      <w:pPr>
        <w:pStyle w:val="ListParagraph"/>
        <w:numPr>
          <w:ilvl w:val="0"/>
          <w:numId w:val="2"/>
        </w:numPr>
        <w:spacing w:after="80"/>
      </w:pPr>
      <w:r>
        <w:rPr>
          <w:sz w:val="22"/>
          <w:szCs w:val="22"/>
        </w:rPr>
        <w:t xml:space="preserve">Rainfall and nutrient profiles differ meaningfully by crop, and yield varies more by region than by year. Both findings directly inform which visualizations will be most useful in Week 3: crop-specific rainfall charts, state-benchmarked yield comparisons, and multi-year trend lines.</w:t>
      </w:r>
    </w:p>
    <w:p>
      <w:pPr>
        <w:pStyle w:val="ListParagraph"/>
        <w:numPr>
          <w:ilvl w:val="0"/>
          <w:numId w:val="2"/>
        </w:numPr>
        <w:spacing w:after="80"/>
      </w:pPr>
      <w:r>
        <w:rPr>
          <w:sz w:val="22"/>
          <w:szCs w:val="22"/>
        </w:rPr>
        <w:t xml:space="preserve">These two real datasets are not identical to the live satellite and IoT feeds described in the Week 1 architecture, but they are structurally analogous. That makes them sufficient to prototype the analytics and presentation layers before investing in live data pipelines.</w:t>
      </w:r>
    </w:p>
    <w:p>
      <w:pPr>
        <w:pStyle w:val="Heading1"/>
        <w:pBdr>
          <w:bottom w:val="single" w:color="2E7D32" w:sz="8" w:space="4"/>
        </w:pBdr>
        <w:spacing w:after="160" w:before="360"/>
      </w:pPr>
      <w:r>
        <w:rPr>
          <w:b/>
          <w:bCs/>
          <w:color w:val="2E7D32"/>
          <w:sz w:val="30"/>
          <w:szCs w:val="30"/>
        </w:rPr>
        <w:t xml:space="preserve">5. References</w:t>
      </w:r>
    </w:p>
    <w:p>
      <w:pPr>
        <w:spacing w:after="160" w:line="276"/>
      </w:pPr>
      <w:r>
        <w:rPr>
          <w:sz w:val="22"/>
          <w:szCs w:val="22"/>
        </w:rPr>
        <w:t xml:space="preserve">1. Crop Recommendation Dataset. Compiled agricultural dataset (soil nutrients, climate, crop label), mirrored at: https://github.com/AbhishekKandoi/Crop-Yield-Prediction-based-on-Indian-Agriculture</w:t>
      </w:r>
    </w:p>
    <w:p>
      <w:pPr>
        <w:spacing w:after="160" w:line="276"/>
      </w:pPr>
      <w:r>
        <w:rPr>
          <w:sz w:val="22"/>
          <w:szCs w:val="22"/>
        </w:rPr>
        <w:t xml:space="preserve">2. Crop Datasets for All Indian States (2010–2017), district-level area/production/yield by crop: https://github.com/nileshely/Crop-Datasets-for-All-Indian-States</w:t>
      </w:r>
    </w:p>
    <w:p>
      <w:pPr>
        <w:spacing w:after="160" w:line="276"/>
      </w:pPr>
      <w:r>
        <w:rPr>
          <w:sz w:val="22"/>
          <w:szCs w:val="22"/>
        </w:rPr>
        <w:t xml:space="preserve">3. Tukey, J. W. (1977). Exploratory Data Analysis. Addison-Wesley. Origin of the 1.5×IQR box plot outlier convention used in Section 2.2.2.</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64b17fbb6a8c169e763d4d8fa3f4c4342dd4d48.png"/><Relationship Id="rId8" Type="http://schemas.openxmlformats.org/officeDocument/2006/relationships/image" Target="media/be06752dff6b94a0b9d00e158ce132dd48562e4e.png"/><Relationship Id="rId9" Type="http://schemas.openxmlformats.org/officeDocument/2006/relationships/image" Target="media/de694f02e0de11f4ec02ca960d45398e2e28c1de.png"/><Relationship Id="rId10" Type="http://schemas.openxmlformats.org/officeDocument/2006/relationships/image" Target="media/54034a89863111e0b742176bd1b6130b3c8b189d.png"/><Relationship Id="rId11" Type="http://schemas.openxmlformats.org/officeDocument/2006/relationships/image" Target="media/782e36a04ee26f1210fdd8d52791576bacf590b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2026-08-25T07:34:08.121Z</dcterms:created>
  <dcterms:modified xsi:type="dcterms:W3CDTF">2026-08-25T07:34:08.135Z</dcterms:modified>
</cp:coreProperties>
</file>

<file path=docProps/custom.xml><?xml version="1.0" encoding="utf-8"?>
<Properties xmlns="http://schemas.openxmlformats.org/officeDocument/2006/custom-properties" xmlns:vt="http://schemas.openxmlformats.org/officeDocument/2006/docPropsVTypes"/>
</file>